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63" w:type="pct"/>
        <w:tblLook w:val="01E0" w:firstRow="1" w:lastRow="1" w:firstColumn="1" w:lastColumn="1" w:noHBand="0" w:noVBand="0"/>
      </w:tblPr>
      <w:tblGrid>
        <w:gridCol w:w="3794"/>
        <w:gridCol w:w="5797"/>
      </w:tblGrid>
      <w:tr w:rsidR="006133C7" w:rsidRPr="006133C7" w:rsidTr="00646550">
        <w:trPr>
          <w:trHeight w:hRule="exact" w:val="907"/>
        </w:trPr>
        <w:tc>
          <w:tcPr>
            <w:tcW w:w="1978" w:type="pct"/>
            <w:shd w:val="clear" w:color="auto" w:fill="auto"/>
          </w:tcPr>
          <w:p w:rsidR="00F7687B" w:rsidRPr="006133C7" w:rsidRDefault="00F7687B" w:rsidP="00F7687B">
            <w:pPr>
              <w:spacing w:before="0" w:after="0"/>
              <w:jc w:val="center"/>
              <w:rPr>
                <w:sz w:val="26"/>
                <w:szCs w:val="28"/>
              </w:rPr>
            </w:pPr>
            <w:r w:rsidRPr="006133C7">
              <w:rPr>
                <w:sz w:val="26"/>
                <w:szCs w:val="28"/>
              </w:rPr>
              <w:t>HĐND TỈNH KON TUM</w:t>
            </w:r>
          </w:p>
          <w:p w:rsidR="00F7687B" w:rsidRPr="006133C7" w:rsidRDefault="00F7687B" w:rsidP="00F7687B">
            <w:pPr>
              <w:spacing w:before="0" w:after="0"/>
              <w:jc w:val="center"/>
              <w:rPr>
                <w:b/>
                <w:sz w:val="26"/>
                <w:szCs w:val="28"/>
              </w:rPr>
            </w:pPr>
            <w:r w:rsidRPr="006133C7">
              <w:rPr>
                <w:noProof/>
                <w:sz w:val="26"/>
                <w:szCs w:val="28"/>
                <w:lang w:val="vi-VN" w:eastAsia="vi-VN"/>
              </w:rPr>
              <mc:AlternateContent>
                <mc:Choice Requires="wps">
                  <w:drawing>
                    <wp:anchor distT="0" distB="0" distL="114300" distR="114300" simplePos="0" relativeHeight="251659264" behindDoc="0" locked="0" layoutInCell="1" allowOverlap="1" wp14:anchorId="6FD5F758" wp14:editId="7E7ECEB2">
                      <wp:simplePos x="0" y="0"/>
                      <wp:positionH relativeFrom="column">
                        <wp:posOffset>632460</wp:posOffset>
                      </wp:positionH>
                      <wp:positionV relativeFrom="paragraph">
                        <wp:posOffset>253365</wp:posOffset>
                      </wp:positionV>
                      <wp:extent cx="1120140" cy="0"/>
                      <wp:effectExtent l="13335" t="5715" r="9525" b="13335"/>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0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5B614F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pt,19.95pt" to="138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s6Gw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"/>
                  </w:pict>
                </mc:Fallback>
              </mc:AlternateContent>
            </w:r>
            <w:r w:rsidRPr="006133C7">
              <w:rPr>
                <w:b/>
                <w:sz w:val="26"/>
                <w:szCs w:val="28"/>
              </w:rPr>
              <w:t>BAN KINH TẾ - NGÂN SÁCH</w:t>
            </w:r>
          </w:p>
        </w:tc>
        <w:tc>
          <w:tcPr>
            <w:tcW w:w="3022" w:type="pct"/>
            <w:shd w:val="clear" w:color="auto" w:fill="auto"/>
          </w:tcPr>
          <w:p w:rsidR="00F7687B" w:rsidRPr="006133C7" w:rsidRDefault="00F7687B" w:rsidP="00F7687B">
            <w:pPr>
              <w:spacing w:before="0" w:after="0"/>
              <w:jc w:val="center"/>
              <w:rPr>
                <w:b/>
                <w:sz w:val="26"/>
                <w:szCs w:val="28"/>
              </w:rPr>
            </w:pPr>
            <w:r w:rsidRPr="006133C7">
              <w:rPr>
                <w:b/>
                <w:sz w:val="26"/>
                <w:szCs w:val="28"/>
              </w:rPr>
              <w:t>CỘNG HÒA XÃ HỘI CHỦ NGHĨA VIỆT NAM</w:t>
            </w:r>
          </w:p>
          <w:p w:rsidR="00F7687B" w:rsidRPr="006133C7" w:rsidRDefault="00F7687B" w:rsidP="00F7687B">
            <w:pPr>
              <w:spacing w:before="0" w:after="0"/>
              <w:jc w:val="center"/>
              <w:rPr>
                <w:b/>
                <w:sz w:val="26"/>
                <w:szCs w:val="28"/>
              </w:rPr>
            </w:pPr>
            <w:r w:rsidRPr="006133C7">
              <w:rPr>
                <w:noProof/>
                <w:szCs w:val="28"/>
                <w:lang w:val="vi-VN" w:eastAsia="vi-VN"/>
              </w:rPr>
              <mc:AlternateContent>
                <mc:Choice Requires="wps">
                  <w:drawing>
                    <wp:anchor distT="0" distB="0" distL="114300" distR="114300" simplePos="0" relativeHeight="251660288" behindDoc="0" locked="0" layoutInCell="1" allowOverlap="1" wp14:anchorId="61CC79E0" wp14:editId="7C6C5FE9">
                      <wp:simplePos x="0" y="0"/>
                      <wp:positionH relativeFrom="column">
                        <wp:posOffset>677545</wp:posOffset>
                      </wp:positionH>
                      <wp:positionV relativeFrom="paragraph">
                        <wp:posOffset>253365</wp:posOffset>
                      </wp:positionV>
                      <wp:extent cx="2200275" cy="0"/>
                      <wp:effectExtent l="10795" t="5715" r="8255" b="13335"/>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43F67FF"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35pt,19.95pt" to="226.6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"/>
                  </w:pict>
                </mc:Fallback>
              </mc:AlternateContent>
            </w:r>
            <w:r w:rsidRPr="006133C7">
              <w:rPr>
                <w:b/>
                <w:szCs w:val="28"/>
              </w:rPr>
              <w:t>Độc lập - Tự do - Hạnh phúc</w:t>
            </w:r>
          </w:p>
        </w:tc>
      </w:tr>
      <w:tr w:rsidR="006133C7" w:rsidRPr="006133C7" w:rsidTr="00646550">
        <w:trPr>
          <w:trHeight w:hRule="exact" w:val="518"/>
        </w:trPr>
        <w:tc>
          <w:tcPr>
            <w:tcW w:w="1978" w:type="pct"/>
            <w:shd w:val="clear" w:color="auto" w:fill="auto"/>
          </w:tcPr>
          <w:p w:rsidR="00F7687B" w:rsidRPr="006133C7" w:rsidRDefault="00F7687B" w:rsidP="00F7687B">
            <w:pPr>
              <w:spacing w:before="0" w:after="0"/>
              <w:jc w:val="center"/>
              <w:rPr>
                <w:sz w:val="26"/>
                <w:szCs w:val="28"/>
              </w:rPr>
            </w:pPr>
            <w:r w:rsidRPr="006133C7">
              <w:rPr>
                <w:sz w:val="26"/>
                <w:szCs w:val="28"/>
              </w:rPr>
              <w:t xml:space="preserve">Số:  </w:t>
            </w:r>
            <w:r w:rsidR="00651749">
              <w:rPr>
                <w:sz w:val="26"/>
                <w:szCs w:val="28"/>
              </w:rPr>
              <w:t>118</w:t>
            </w:r>
            <w:r w:rsidRPr="006133C7">
              <w:rPr>
                <w:sz w:val="26"/>
                <w:szCs w:val="28"/>
              </w:rPr>
              <w:t xml:space="preserve">  /BC-BKTNS</w:t>
            </w:r>
          </w:p>
          <w:p w:rsidR="00F7687B" w:rsidRPr="006133C7" w:rsidRDefault="00F7687B" w:rsidP="00F7687B">
            <w:pPr>
              <w:spacing w:before="0" w:after="0"/>
              <w:ind w:firstLine="709"/>
              <w:jc w:val="both"/>
              <w:rPr>
                <w:szCs w:val="28"/>
              </w:rPr>
            </w:pPr>
          </w:p>
        </w:tc>
        <w:tc>
          <w:tcPr>
            <w:tcW w:w="3022" w:type="pct"/>
            <w:shd w:val="clear" w:color="auto" w:fill="auto"/>
          </w:tcPr>
          <w:p w:rsidR="00F7687B" w:rsidRPr="006133C7" w:rsidRDefault="00F7687B" w:rsidP="00651749">
            <w:pPr>
              <w:spacing w:before="0" w:after="0"/>
              <w:ind w:firstLine="709"/>
              <w:jc w:val="both"/>
              <w:rPr>
                <w:i/>
                <w:szCs w:val="28"/>
              </w:rPr>
            </w:pPr>
            <w:r w:rsidRPr="006133C7">
              <w:rPr>
                <w:i/>
                <w:szCs w:val="28"/>
              </w:rPr>
              <w:t xml:space="preserve">Kon Tum, ngày </w:t>
            </w:r>
            <w:r w:rsidR="00651749">
              <w:rPr>
                <w:i/>
                <w:szCs w:val="28"/>
              </w:rPr>
              <w:t>30</w:t>
            </w:r>
            <w:r w:rsidRPr="006133C7">
              <w:rPr>
                <w:i/>
                <w:szCs w:val="28"/>
              </w:rPr>
              <w:t xml:space="preserve"> tháng </w:t>
            </w:r>
            <w:r w:rsidR="00651749">
              <w:rPr>
                <w:i/>
                <w:szCs w:val="28"/>
              </w:rPr>
              <w:t>11</w:t>
            </w:r>
            <w:r w:rsidRPr="006133C7">
              <w:rPr>
                <w:i/>
                <w:szCs w:val="28"/>
              </w:rPr>
              <w:t xml:space="preserve"> năm </w:t>
            </w:r>
            <w:r w:rsidR="00651749">
              <w:rPr>
                <w:i/>
                <w:szCs w:val="28"/>
              </w:rPr>
              <w:t>2020</w:t>
            </w:r>
            <w:r w:rsidRPr="006133C7">
              <w:rPr>
                <w:i/>
                <w:szCs w:val="28"/>
              </w:rPr>
              <w:t xml:space="preserve">   </w:t>
            </w:r>
          </w:p>
        </w:tc>
      </w:tr>
    </w:tbl>
    <w:p w:rsidR="008063AD" w:rsidRDefault="008063AD" w:rsidP="00722528">
      <w:pPr>
        <w:spacing w:before="0" w:after="0"/>
        <w:jc w:val="center"/>
        <w:rPr>
          <w:b/>
        </w:rPr>
      </w:pPr>
    </w:p>
    <w:p w:rsidR="00F7687B" w:rsidRPr="006133C7" w:rsidRDefault="00F7687B" w:rsidP="00722528">
      <w:pPr>
        <w:spacing w:before="0" w:after="0"/>
        <w:jc w:val="center"/>
        <w:rPr>
          <w:b/>
        </w:rPr>
      </w:pPr>
      <w:r w:rsidRPr="006133C7">
        <w:rPr>
          <w:b/>
        </w:rPr>
        <w:t>BÁO CÁO THẨM TRA</w:t>
      </w:r>
    </w:p>
    <w:p w:rsidR="00F7687B" w:rsidRPr="006133C7" w:rsidRDefault="00B900D4" w:rsidP="00F7687B">
      <w:pPr>
        <w:spacing w:before="0" w:after="0"/>
        <w:jc w:val="center"/>
        <w:rPr>
          <w:b/>
        </w:rPr>
      </w:pPr>
      <w:r w:rsidRPr="006133C7">
        <w:rPr>
          <w:b/>
          <w:spacing w:val="-2"/>
          <w:lang w:val="nl-NL"/>
        </w:rPr>
        <w:t>Kết quả triển khai thực hiện Nghị quyết số 65/NQ-HĐND ngày 10 tháng 12 năm 2019 của Hội đồng nhân dân tỉnh</w:t>
      </w:r>
    </w:p>
    <w:p w:rsidR="00F7687B" w:rsidRPr="006133C7" w:rsidRDefault="00F7687B" w:rsidP="00F7687B">
      <w:pPr>
        <w:jc w:val="center"/>
        <w:rPr>
          <w:b/>
          <w:u w:val="single"/>
          <w:vertAlign w:val="subscript"/>
        </w:rPr>
      </w:pPr>
      <w:r w:rsidRPr="006133C7">
        <w:rPr>
          <w:noProof/>
          <w:lang w:val="vi-VN" w:eastAsia="vi-VN"/>
        </w:rPr>
        <mc:AlternateContent>
          <mc:Choice Requires="wps">
            <w:drawing>
              <wp:anchor distT="0" distB="0" distL="114300" distR="114300" simplePos="0" relativeHeight="251661312" behindDoc="0" locked="0" layoutInCell="1" allowOverlap="1" wp14:anchorId="64A8702B" wp14:editId="2CE40BA5">
                <wp:simplePos x="0" y="0"/>
                <wp:positionH relativeFrom="margin">
                  <wp:posOffset>2265045</wp:posOffset>
                </wp:positionH>
                <wp:positionV relativeFrom="paragraph">
                  <wp:posOffset>82550</wp:posOffset>
                </wp:positionV>
                <wp:extent cx="1305560" cy="0"/>
                <wp:effectExtent l="7620" t="6350" r="10795"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5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38E472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8.35pt,6.5pt" to="281.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s6o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0qn0xl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">
                <w10:wrap anchorx="margin"/>
              </v:line>
            </w:pict>
          </mc:Fallback>
        </mc:AlternateContent>
      </w:r>
    </w:p>
    <w:p w:rsidR="00F7687B" w:rsidRPr="006133C7" w:rsidRDefault="00F7687B" w:rsidP="006133C7">
      <w:pPr>
        <w:widowControl w:val="0"/>
        <w:ind w:firstLine="720"/>
        <w:jc w:val="both"/>
      </w:pPr>
      <w:r w:rsidRPr="006133C7">
        <w:t xml:space="preserve">Căn cứ Luật Tổ chức Chính quyền địa phương năm 2015; </w:t>
      </w:r>
      <w:r w:rsidRPr="006133C7">
        <w:rPr>
          <w:rFonts w:eastAsia="Times New Roman"/>
          <w:szCs w:val="28"/>
          <w:lang w:val="nl-NL" w:eastAsia="x-none"/>
        </w:rPr>
        <w:t>Luật sửa đổi, bổ sung một số điều của Luật Tổ chức Chính phủ và Luật Tổ chức chính quyền địa phương năm 2019;</w:t>
      </w:r>
      <w:r w:rsidRPr="006133C7">
        <w:rPr>
          <w:rFonts w:eastAsia="Times New Roman"/>
          <w:i/>
          <w:szCs w:val="28"/>
          <w:lang w:val="nl-NL" w:eastAsia="x-none"/>
        </w:rPr>
        <w:t xml:space="preserve"> </w:t>
      </w:r>
      <w:r w:rsidRPr="006133C7">
        <w:t>Luật Hoạt động giám sát của Quốc hội và Hội đồ</w:t>
      </w:r>
      <w:r w:rsidR="00722528">
        <w:t>ng nhân dân năm 2015.</w:t>
      </w:r>
      <w:r w:rsidRPr="006133C7">
        <w:t xml:space="preserve"> </w:t>
      </w:r>
    </w:p>
    <w:p w:rsidR="00F7687B" w:rsidRPr="00651749" w:rsidRDefault="00F7687B" w:rsidP="006133C7">
      <w:pPr>
        <w:ind w:firstLine="720"/>
        <w:jc w:val="both"/>
        <w:rPr>
          <w:szCs w:val="28"/>
          <w:lang w:val="nl-NL"/>
        </w:rPr>
      </w:pPr>
      <w:r w:rsidRPr="006133C7">
        <w:rPr>
          <w:szCs w:val="28"/>
        </w:rPr>
        <w:t xml:space="preserve">Thực hiện sự phân công của Thường trực Hội đồng nhân dân tỉnh, trên cơ sở </w:t>
      </w:r>
      <w:r w:rsidRPr="006133C7">
        <w:t>Báo cáo số 325/BC-UBND ngày 30</w:t>
      </w:r>
      <w:r w:rsidR="00A759A4" w:rsidRPr="006133C7">
        <w:t xml:space="preserve"> </w:t>
      </w:r>
      <w:r w:rsidRPr="006133C7">
        <w:t xml:space="preserve">tháng 10 năm 2020 của Ủy ban nhân dân tỉnh về </w:t>
      </w:r>
      <w:r w:rsidRPr="006133C7">
        <w:rPr>
          <w:spacing w:val="-2"/>
          <w:lang w:val="nl-NL"/>
        </w:rPr>
        <w:t xml:space="preserve">tình hình triển khai thực hiện Nghị quyết số 65/NQ-HĐND ngày 10 tháng 12 năm 2019 của Hội đồng nhân dân tỉnh, </w:t>
      </w:r>
      <w:r w:rsidRPr="006133C7">
        <w:t xml:space="preserve">Ban Kinh tế - Ngân sách đã tổ chức phiên họp toàn thể thẩm tra nội dung trên. </w:t>
      </w:r>
      <w:r w:rsidRPr="006133C7">
        <w:rPr>
          <w:szCs w:val="28"/>
          <w:lang w:val="nl-NL"/>
        </w:rPr>
        <w:t>Tham dự cuộc họp có lãnh đạo các Ban Hội đồng nhân dân tỉnh; đại diện Ủy ban nhân dân tỉnh và các sở, ngành liên quan. Ban Kinh tế - Ngân sách báo cáo kết quả thẩm tra như sau:</w:t>
      </w:r>
    </w:p>
    <w:p w:rsidR="00F7687B" w:rsidRPr="00651749" w:rsidRDefault="00F7687B" w:rsidP="006133C7">
      <w:pPr>
        <w:ind w:firstLine="720"/>
        <w:rPr>
          <w:b/>
          <w:lang w:val="nl-NL"/>
        </w:rPr>
      </w:pPr>
      <w:r w:rsidRPr="00651749">
        <w:rPr>
          <w:b/>
          <w:lang w:val="nl-NL"/>
        </w:rPr>
        <w:t xml:space="preserve">1. Kết quả thực hiện </w:t>
      </w:r>
    </w:p>
    <w:p w:rsidR="004366B5" w:rsidRDefault="004366B5" w:rsidP="006133C7">
      <w:pPr>
        <w:ind w:firstLine="720"/>
        <w:jc w:val="both"/>
        <w:rPr>
          <w:spacing w:val="2"/>
          <w:lang w:val="nl-NL"/>
        </w:rPr>
      </w:pPr>
      <w:r>
        <w:rPr>
          <w:spacing w:val="2"/>
          <w:lang w:val="nl-NL"/>
        </w:rPr>
        <w:t xml:space="preserve">Theo báo cáo của Ủy ban nhân dân tỉnh, thực hiện Nghị quyết số 65/NQ-HĐND ngày </w:t>
      </w:r>
      <w:r w:rsidRPr="006133C7">
        <w:rPr>
          <w:lang w:val="nl-NL"/>
        </w:rPr>
        <w:t xml:space="preserve">ngày </w:t>
      </w:r>
      <w:r w:rsidRPr="006133C7">
        <w:rPr>
          <w:spacing w:val="-2"/>
          <w:lang w:val="nl-NL"/>
        </w:rPr>
        <w:t>10 tháng 12 năm 2019 của Hội đồng nhân dân tỉnh</w:t>
      </w:r>
      <w:r>
        <w:rPr>
          <w:spacing w:val="-2"/>
          <w:lang w:val="nl-NL"/>
        </w:rPr>
        <w:t>, Ủy ban nhân dân tỉnh đã ban hành nhiều văn bản chỉ đạo, tổ chức triển khai thực hiện</w:t>
      </w:r>
      <w:r w:rsidR="00046FE6" w:rsidRPr="00046FE6">
        <w:rPr>
          <w:b/>
          <w:vertAlign w:val="superscript"/>
          <w:lang w:val="nl-NL"/>
        </w:rPr>
        <w:t>(</w:t>
      </w:r>
      <w:r w:rsidR="00046FE6" w:rsidRPr="00046FE6">
        <w:rPr>
          <w:rStyle w:val="FootnoteReference"/>
          <w:b/>
        </w:rPr>
        <w:footnoteReference w:id="1"/>
      </w:r>
      <w:r w:rsidR="00046FE6" w:rsidRPr="00046FE6">
        <w:rPr>
          <w:b/>
          <w:vertAlign w:val="superscript"/>
          <w:lang w:val="nl-NL"/>
        </w:rPr>
        <w:t>)</w:t>
      </w:r>
      <w:r>
        <w:rPr>
          <w:spacing w:val="-2"/>
          <w:lang w:val="nl-NL"/>
        </w:rPr>
        <w:t xml:space="preserve">; </w:t>
      </w:r>
      <w:r w:rsidRPr="00E07D22">
        <w:rPr>
          <w:lang w:val="nl-NL"/>
        </w:rPr>
        <w:t xml:space="preserve">tổ chức Hội nghị trực tuyến </w:t>
      </w:r>
      <w:r w:rsidRPr="00E07D22">
        <w:rPr>
          <w:i/>
          <w:lang w:val="nl-NL"/>
        </w:rPr>
        <w:t>(từ cấp tỉnh đến cấp xã)</w:t>
      </w:r>
      <w:r w:rsidRPr="00E07D22">
        <w:rPr>
          <w:lang w:val="nl-NL"/>
        </w:rPr>
        <w:t xml:space="preserve"> để bàn về các giải pháp nhằm tăng cường công tác quản lý về đất đai, quy hoạch, xây dựng trên địa bàn tỉnh</w:t>
      </w:r>
      <w:r>
        <w:rPr>
          <w:lang w:val="nl-NL"/>
        </w:rPr>
        <w:t>.</w:t>
      </w:r>
    </w:p>
    <w:p w:rsidR="00F7687B" w:rsidRDefault="001124F4" w:rsidP="006133C7">
      <w:pPr>
        <w:ind w:firstLine="720"/>
        <w:jc w:val="both"/>
        <w:rPr>
          <w:lang w:val="nl-NL"/>
        </w:rPr>
      </w:pPr>
      <w:r>
        <w:rPr>
          <w:lang w:val="nl-NL"/>
        </w:rPr>
        <w:t>T</w:t>
      </w:r>
      <w:r w:rsidR="00F7687B" w:rsidRPr="006133C7">
        <w:rPr>
          <w:lang w:val="nl-NL"/>
        </w:rPr>
        <w:t>hành lập đoàn thanh tra việc xây dựng nhà ở thương mại, phân lô, bán đất nền trái pháp luật trên địa bàn thành phố Kon Tum</w:t>
      </w:r>
      <w:r>
        <w:rPr>
          <w:lang w:val="nl-NL"/>
        </w:rPr>
        <w:t xml:space="preserve">; </w:t>
      </w:r>
      <w:r w:rsidR="00F7687B" w:rsidRPr="006133C7">
        <w:rPr>
          <w:lang w:val="nl-NL"/>
        </w:rPr>
        <w:t>việc quản lý sử dụng đất, trật tự xây dựng dọc đường Hồ</w:t>
      </w:r>
      <w:r>
        <w:rPr>
          <w:lang w:val="nl-NL"/>
        </w:rPr>
        <w:t xml:space="preserve"> Chí Minh và một số phường của thành phố Kon Tum.</w:t>
      </w:r>
      <w:r w:rsidR="00F7687B" w:rsidRPr="006133C7">
        <w:rPr>
          <w:lang w:val="nl-NL"/>
        </w:rPr>
        <w:t xml:space="preserve"> </w:t>
      </w:r>
      <w:r w:rsidR="00401546">
        <w:rPr>
          <w:lang w:val="nl-NL"/>
        </w:rPr>
        <w:t>C</w:t>
      </w:r>
      <w:r w:rsidR="00F7687B" w:rsidRPr="006133C7">
        <w:rPr>
          <w:lang w:val="nl-NL"/>
        </w:rPr>
        <w:t xml:space="preserve">hỉ đạo Sở Tài nguyên và Môi trường thanh tra các vi phạm trong công tác quản lý sử dụng đất và việc quản lý đất đai, xây dựng tại </w:t>
      </w:r>
      <w:r>
        <w:rPr>
          <w:lang w:val="nl-NL"/>
        </w:rPr>
        <w:t xml:space="preserve">một số </w:t>
      </w:r>
      <w:r w:rsidR="00F7687B" w:rsidRPr="006133C7">
        <w:rPr>
          <w:lang w:val="nl-NL"/>
        </w:rPr>
        <w:t xml:space="preserve">khu vực đất </w:t>
      </w:r>
      <w:r>
        <w:rPr>
          <w:lang w:val="nl-NL"/>
        </w:rPr>
        <w:t xml:space="preserve">trên địa bàn </w:t>
      </w:r>
      <w:r w:rsidR="00F7687B" w:rsidRPr="006133C7">
        <w:rPr>
          <w:lang w:val="nl-NL"/>
        </w:rPr>
        <w:t xml:space="preserve">thành phố Kon Tum. </w:t>
      </w:r>
    </w:p>
    <w:p w:rsidR="00401546" w:rsidRDefault="00401546" w:rsidP="006133C7">
      <w:pPr>
        <w:ind w:firstLine="720"/>
        <w:jc w:val="both"/>
        <w:rPr>
          <w:rFonts w:eastAsia="Calibri"/>
          <w:lang w:val="nl-NL"/>
        </w:rPr>
      </w:pPr>
      <w:r>
        <w:rPr>
          <w:lang w:val="nl-NL"/>
        </w:rPr>
        <w:lastRenderedPageBreak/>
        <w:t>Kết quả thanh tra, n</w:t>
      </w:r>
      <w:r w:rsidR="00F7687B" w:rsidRPr="006133C7">
        <w:rPr>
          <w:rFonts w:eastAsia="Calibri"/>
          <w:lang w:val="nl-NL"/>
        </w:rPr>
        <w:t xml:space="preserve">gày 12 tháng 8 năm 2020, Chủ tịch Ủy ban nhân dân tỉnh ban hành Kết luận thanh tra số 2963/KL-UBND về việc thanh tra việc xây dựng nhà ở thương mại, phân lô, bán nền trái pháp luật trên địa bàn thành phố Kon Tum; việc quản lý sử dụng đất, trật tự xây dựng dọc đường Hồ Chí Minh, đoạn từ tỉnh lộ 675 đến thị trấn Đăk Hà; việc quản lý, sử dụng đất, trật tự xây dựng tại phường Ngô Mây, thành phố Kon Tum. </w:t>
      </w:r>
    </w:p>
    <w:p w:rsidR="00401546" w:rsidRDefault="00F7687B" w:rsidP="006133C7">
      <w:pPr>
        <w:ind w:firstLine="720"/>
        <w:jc w:val="both"/>
        <w:rPr>
          <w:rFonts w:eastAsia="Calibri"/>
          <w:lang w:val="nl-NL"/>
        </w:rPr>
      </w:pPr>
      <w:r w:rsidRPr="006133C7">
        <w:rPr>
          <w:rFonts w:eastAsia="Calibri"/>
          <w:lang w:val="nl-NL"/>
        </w:rPr>
        <w:t xml:space="preserve">Sở Tài nguyên và Môi trường ban hành Kết luận thanh tra số 04/KL-STNMT </w:t>
      </w:r>
      <w:r w:rsidR="00F27DA9" w:rsidRPr="006133C7">
        <w:rPr>
          <w:rFonts w:eastAsia="Calibri"/>
          <w:lang w:val="nl-NL"/>
        </w:rPr>
        <w:t xml:space="preserve">ngày 02 tháng 6 năm 2020 </w:t>
      </w:r>
      <w:r w:rsidRPr="006133C7">
        <w:rPr>
          <w:rFonts w:eastAsia="Calibri"/>
          <w:lang w:val="nl-NL"/>
        </w:rPr>
        <w:t>về việc quản lý, sử dụng đất đối với khu vực thửa đất số 218, 219, tờ bản đồ số 2, thôn 2, xã Đăk Cấm, thành phố Kon Tum</w:t>
      </w:r>
      <w:r w:rsidRPr="006133C7">
        <w:rPr>
          <w:rFonts w:eastAsia="Calibri"/>
          <w:vertAlign w:val="superscript"/>
          <w:lang w:val="nl-NL"/>
        </w:rPr>
        <w:t>(</w:t>
      </w:r>
      <w:r w:rsidRPr="006133C7">
        <w:rPr>
          <w:rStyle w:val="FootnoteReference"/>
          <w:rFonts w:eastAsia="Calibri"/>
        </w:rPr>
        <w:footnoteReference w:id="2"/>
      </w:r>
      <w:r w:rsidRPr="006133C7">
        <w:rPr>
          <w:rFonts w:eastAsia="Calibri"/>
          <w:vertAlign w:val="superscript"/>
          <w:lang w:val="nl-NL"/>
        </w:rPr>
        <w:t>)</w:t>
      </w:r>
      <w:r w:rsidRPr="006133C7">
        <w:rPr>
          <w:rFonts w:eastAsia="Calibri"/>
          <w:lang w:val="nl-NL"/>
        </w:rPr>
        <w:t>.</w:t>
      </w:r>
    </w:p>
    <w:p w:rsidR="00F27DA9" w:rsidRPr="006133C7" w:rsidRDefault="00F7687B" w:rsidP="006133C7">
      <w:pPr>
        <w:ind w:firstLine="720"/>
        <w:jc w:val="both"/>
        <w:rPr>
          <w:rFonts w:eastAsia="Calibri"/>
          <w:spacing w:val="-2"/>
          <w:lang w:val="nl-NL"/>
        </w:rPr>
      </w:pPr>
      <w:r w:rsidRPr="006133C7">
        <w:rPr>
          <w:rFonts w:eastAsia="Calibri"/>
          <w:lang w:val="nl-NL"/>
        </w:rPr>
        <w:t>Các Kết luận thanh tra nêu trên đã chỉ ra một số vi phạm trong công tác quản lý sử dụng đất, quản lý trật tự xây dựng trên địa bàn các phường: Trường Chinh, Thắng Lợi, Quyết Thắng, Ngô Mây, thành phố Kon Tum và xã Đăk La, huyện Đăk Hà, như: cho phép chuyển mục đích không đúng quy định</w:t>
      </w:r>
      <w:r w:rsidRPr="006133C7">
        <w:rPr>
          <w:rFonts w:eastAsia="Calibri"/>
          <w:vertAlign w:val="superscript"/>
          <w:lang w:val="nl-NL"/>
        </w:rPr>
        <w:t xml:space="preserve"> </w:t>
      </w:r>
      <w:r w:rsidRPr="006133C7">
        <w:rPr>
          <w:rFonts w:eastAsia="Calibri"/>
          <w:i/>
          <w:lang w:val="nl-NL"/>
        </w:rPr>
        <w:t>(cho phép chuyển mục đích sử dụng đất không phù hợp với Kế hoạch sử dụng</w:t>
      </w:r>
      <w:r w:rsidRPr="006133C7">
        <w:rPr>
          <w:i/>
          <w:lang w:val="nl-NL"/>
        </w:rPr>
        <w:t xml:space="preserve"> đất hàng năm, cho phép chuyển mục đích sử dụng đất</w:t>
      </w:r>
      <w:r w:rsidRPr="00651749">
        <w:rPr>
          <w:i/>
          <w:lang w:val="nl-NL"/>
        </w:rPr>
        <w:t xml:space="preserve"> khi đã hết chỉ tiêu</w:t>
      </w:r>
      <w:r w:rsidRPr="006133C7">
        <w:rPr>
          <w:i/>
          <w:lang w:val="nl-NL"/>
        </w:rPr>
        <w:t>…)</w:t>
      </w:r>
      <w:r w:rsidRPr="006133C7">
        <w:rPr>
          <w:rFonts w:eastAsia="Calibri"/>
          <w:lang w:val="nl-NL"/>
        </w:rPr>
        <w:t xml:space="preserve">; hiến đất mở đường không phù hợp quy hoạch, chưa đảm bảo thủ tục; xây dựng công trình, nhà ở không có giấy phép xây dựng, sai nội dung giấy phép xây dựng, sai quy hoạch… Các vi phạm này đã tạo điều kiện cho một số cá nhân lợi dụng để mua gom đất nông nghiệp, chuyển mục đích sử dụng đất từ đất nông nghiệp sang đất ở, mở đường, phân </w:t>
      </w:r>
      <w:r w:rsidRPr="006133C7">
        <w:rPr>
          <w:rFonts w:eastAsia="Calibri"/>
          <w:spacing w:val="-2"/>
          <w:lang w:val="nl-NL"/>
        </w:rPr>
        <w:t xml:space="preserve">lô, bán đất nền, hình thành các khu dân cư trái phép. </w:t>
      </w:r>
    </w:p>
    <w:p w:rsidR="00F7687B" w:rsidRPr="006133C7" w:rsidRDefault="00F7687B" w:rsidP="006133C7">
      <w:pPr>
        <w:ind w:firstLine="720"/>
        <w:jc w:val="both"/>
        <w:rPr>
          <w:rFonts w:eastAsia="Calibri"/>
          <w:lang w:val="nl-NL"/>
        </w:rPr>
      </w:pPr>
      <w:r w:rsidRPr="006133C7">
        <w:rPr>
          <w:rFonts w:eastAsia="Calibri"/>
          <w:lang w:val="nl-NL"/>
        </w:rPr>
        <w:t>Đối với các vi phạm đã được chỉ ra tại các kết luận thanh tra, Chủ tịch Ủy ban nhân dân tỉnh đã chỉ đạo các đơn vị, địa phương chấn chỉnh công tác quản lý nhà nước về trật tự xây dựng và đất đai; tổ chức kiểm điểm, xử lý trách nhiệm đối với các tổ chức, cá nhân thuộc thẩm quyền</w:t>
      </w:r>
      <w:r w:rsidRPr="006133C7">
        <w:rPr>
          <w:rFonts w:eastAsia="Calibri"/>
          <w:vertAlign w:val="superscript"/>
          <w:lang w:val="nl-NL"/>
        </w:rPr>
        <w:t>(</w:t>
      </w:r>
      <w:r w:rsidRPr="006133C7">
        <w:rPr>
          <w:rStyle w:val="FootnoteReference"/>
          <w:rFonts w:eastAsia="Calibri"/>
          <w:lang w:val="nl-NL"/>
        </w:rPr>
        <w:footnoteReference w:id="3"/>
      </w:r>
      <w:r w:rsidRPr="006133C7">
        <w:rPr>
          <w:rFonts w:eastAsia="Calibri"/>
          <w:vertAlign w:val="superscript"/>
          <w:lang w:val="nl-NL"/>
        </w:rPr>
        <w:t>)</w:t>
      </w:r>
      <w:r w:rsidRPr="006133C7">
        <w:rPr>
          <w:rFonts w:eastAsia="Calibri"/>
          <w:lang w:val="nl-NL"/>
        </w:rPr>
        <w:t xml:space="preserve">. </w:t>
      </w:r>
    </w:p>
    <w:p w:rsidR="00F7687B" w:rsidRPr="006133C7" w:rsidRDefault="00F7687B" w:rsidP="006133C7">
      <w:pPr>
        <w:ind w:firstLine="720"/>
        <w:jc w:val="both"/>
        <w:rPr>
          <w:rFonts w:eastAsia="Calibri"/>
          <w:lang w:val="nl-NL"/>
        </w:rPr>
      </w:pPr>
      <w:r w:rsidRPr="006133C7">
        <w:rPr>
          <w:rFonts w:eastAsia="Calibri"/>
          <w:lang w:val="nl-NL"/>
        </w:rPr>
        <w:t>Đối với các hành vi có dấu hiệu vi phạm pháp luật về đất đai, Chủ tịch Ủy ban nhân dân tỉnh đã chỉ đạo chuyển kết luận thanh tra và hồ sơ liên quan cho Cơ quan Cảnh sát điều tra - Công an tỉnh để tiếp tục điều tra xác minh, làm rõ các dấu hiệu vi phạm và xử lý theo quy định của pháp luật.</w:t>
      </w:r>
    </w:p>
    <w:p w:rsidR="00F7687B" w:rsidRPr="006133C7" w:rsidRDefault="00F27DA9" w:rsidP="006133C7">
      <w:pPr>
        <w:ind w:firstLine="720"/>
        <w:jc w:val="both"/>
        <w:rPr>
          <w:i/>
          <w:lang w:val="nl-NL"/>
        </w:rPr>
      </w:pPr>
      <w:r w:rsidRPr="006133C7">
        <w:rPr>
          <w:lang w:val="nl-NL"/>
        </w:rPr>
        <w:lastRenderedPageBreak/>
        <w:t>Nhìn chung, c</w:t>
      </w:r>
      <w:r w:rsidR="00F7687B" w:rsidRPr="006133C7">
        <w:rPr>
          <w:lang w:val="nl-NL"/>
        </w:rPr>
        <w:t>ác cấp, các ngành đã vào cuộc quyết liệt, triển khai nhiều giải pháp đồng bộ từ ban hành các văn bản chỉ đạo, điều hành đến việc tổ chức thực hiện, tăng cường công tác thanh tra kiểm tra, xử lý các vi phạm… bước đầu đã mang lại kết quả tích cực, nhiều vụ việc vi phạm đã được kiểm tra xử lý ngay từ đầu; việc tách thửa, hợp thửa, hiến đất làm đường được siết chặt. Tại địa bàn các huyện, hầu hết các trường hợp vi phạm trật tự xây dựng, đất đai ở quy mô nhỏ đã được kiểm tra xử lý nghiêm theo quy định; riêng địa bàn thành phố Kon Tum, Ủy ban nhân dân thành phố Kon Tum đã chỉ đạo Ủy ban nhân dân các xã, phường tổ chức kiểm tra xử lý theo quy định, tuy nhiên việc xử lý các vi phạm chỉ dừng lại ở mức xử phạt tiền, chưa thực hiện được triệt để các biện pháp khắc phục hậu quả</w:t>
      </w:r>
      <w:r w:rsidR="00F7687B" w:rsidRPr="006133C7">
        <w:rPr>
          <w:i/>
          <w:lang w:val="nl-NL"/>
        </w:rPr>
        <w:t>.</w:t>
      </w:r>
    </w:p>
    <w:p w:rsidR="00A759A4" w:rsidRPr="006133C7" w:rsidRDefault="00A759A4" w:rsidP="006133C7">
      <w:pPr>
        <w:ind w:firstLine="720"/>
        <w:jc w:val="both"/>
        <w:rPr>
          <w:b/>
          <w:lang w:val="nl-NL"/>
        </w:rPr>
      </w:pPr>
      <w:r w:rsidRPr="006133C7">
        <w:rPr>
          <w:b/>
          <w:lang w:val="nl-NL"/>
        </w:rPr>
        <w:t>2. Ý kiến của Ban Kinh tế - Ngân sách</w:t>
      </w:r>
    </w:p>
    <w:p w:rsidR="00B900D4" w:rsidRPr="006133C7" w:rsidRDefault="00A759A4" w:rsidP="007D31C9">
      <w:pPr>
        <w:ind w:firstLine="720"/>
        <w:jc w:val="both"/>
        <w:rPr>
          <w:b/>
          <w:lang w:val="nl-NL"/>
        </w:rPr>
      </w:pPr>
      <w:r w:rsidRPr="00651749">
        <w:rPr>
          <w:lang w:val="nl-NL"/>
        </w:rPr>
        <w:t xml:space="preserve">Qua thảo luận, </w:t>
      </w:r>
      <w:r w:rsidR="00F7687B" w:rsidRPr="00651749">
        <w:rPr>
          <w:lang w:val="nl-NL"/>
        </w:rPr>
        <w:t xml:space="preserve">Ban Kinh tế - Ngân sách thống nhất với </w:t>
      </w:r>
      <w:r w:rsidRPr="00651749">
        <w:rPr>
          <w:lang w:val="nl-NL"/>
        </w:rPr>
        <w:t>báo cáo kết quả</w:t>
      </w:r>
      <w:r w:rsidR="00F7687B" w:rsidRPr="00651749">
        <w:rPr>
          <w:lang w:val="nl-NL"/>
        </w:rPr>
        <w:t xml:space="preserve"> </w:t>
      </w:r>
      <w:r w:rsidRPr="006133C7">
        <w:rPr>
          <w:spacing w:val="2"/>
          <w:lang w:val="nl-NL"/>
        </w:rPr>
        <w:t xml:space="preserve">thực hiện các nội dung Nghị quyết số 65/NQ-HĐND </w:t>
      </w:r>
      <w:r w:rsidRPr="006133C7">
        <w:rPr>
          <w:lang w:val="nl-NL"/>
        </w:rPr>
        <w:t xml:space="preserve">ngày </w:t>
      </w:r>
      <w:r w:rsidRPr="006133C7">
        <w:rPr>
          <w:spacing w:val="-2"/>
          <w:lang w:val="nl-NL"/>
        </w:rPr>
        <w:t xml:space="preserve">10 tháng 12 năm 2019 </w:t>
      </w:r>
      <w:r w:rsidR="00F7687B" w:rsidRPr="00651749">
        <w:rPr>
          <w:lang w:val="nl-NL"/>
        </w:rPr>
        <w:t xml:space="preserve">của Ủy ban nhân dân tỉnh tại </w:t>
      </w:r>
      <w:r w:rsidRPr="00651749">
        <w:rPr>
          <w:lang w:val="nl-NL"/>
        </w:rPr>
        <w:t>Báo cáo số 325/BC-UBND ngày 30 tháng 10 năm 2020</w:t>
      </w:r>
      <w:r w:rsidR="00722528" w:rsidRPr="00651749">
        <w:rPr>
          <w:lang w:val="nl-NL"/>
        </w:rPr>
        <w:t>.</w:t>
      </w:r>
      <w:r w:rsidR="00B900D4" w:rsidRPr="00651749">
        <w:rPr>
          <w:lang w:val="nl-NL"/>
        </w:rPr>
        <w:t xml:space="preserve"> </w:t>
      </w:r>
      <w:r w:rsidR="00D66E9A" w:rsidRPr="00651749">
        <w:rPr>
          <w:lang w:val="nl-NL"/>
        </w:rPr>
        <w:t>Trong thời gian tới, đ</w:t>
      </w:r>
      <w:r w:rsidR="0065421C" w:rsidRPr="00651749">
        <w:rPr>
          <w:lang w:val="nl-NL"/>
        </w:rPr>
        <w:t xml:space="preserve">ề nghị Ủy ban nhân dân tỉnh tiếp tục chỉ đạo tăng cường công tác tuyền truyền, phổ biến </w:t>
      </w:r>
      <w:r w:rsidR="00A9349A" w:rsidRPr="00651749">
        <w:rPr>
          <w:lang w:val="nl-NL"/>
        </w:rPr>
        <w:t xml:space="preserve">nâng cao nhận thức của người dân về </w:t>
      </w:r>
      <w:r w:rsidR="007D31C9" w:rsidRPr="00651749">
        <w:rPr>
          <w:lang w:val="nl-NL"/>
        </w:rPr>
        <w:t>lĩnh vực đất đai, quy hoạch, xây dựng,... thường xuyên làm tốt công tác thanh tra, kiểm tra, giám sát</w:t>
      </w:r>
      <w:r w:rsidR="00722528" w:rsidRPr="00651749">
        <w:rPr>
          <w:lang w:val="nl-NL"/>
        </w:rPr>
        <w:t>,</w:t>
      </w:r>
      <w:r w:rsidR="007D31C9" w:rsidRPr="00651749">
        <w:rPr>
          <w:lang w:val="nl-NL"/>
        </w:rPr>
        <w:t xml:space="preserve"> kịp thời ngăn chặn, xử lý </w:t>
      </w:r>
      <w:r w:rsidR="00FE2FA0" w:rsidRPr="00651749">
        <w:rPr>
          <w:lang w:val="nl-NL"/>
        </w:rPr>
        <w:t>nghiêm</w:t>
      </w:r>
      <w:r w:rsidR="007D31C9" w:rsidRPr="00651749">
        <w:rPr>
          <w:lang w:val="nl-NL"/>
        </w:rPr>
        <w:t xml:space="preserve"> các trường hợp vi phạm trong lĩnh vực đất đai, quy hoạch, xây dựng; </w:t>
      </w:r>
      <w:r w:rsidR="00B900D4" w:rsidRPr="00651749">
        <w:rPr>
          <w:lang w:val="nl-NL"/>
        </w:rPr>
        <w:t xml:space="preserve">chỉ đạo xử lý </w:t>
      </w:r>
      <w:r w:rsidR="00FE2FA0" w:rsidRPr="00651749">
        <w:rPr>
          <w:lang w:val="nl-NL"/>
        </w:rPr>
        <w:t>dứt điểm</w:t>
      </w:r>
      <w:r w:rsidR="007D31C9" w:rsidRPr="00651749">
        <w:rPr>
          <w:lang w:val="nl-NL"/>
        </w:rPr>
        <w:t xml:space="preserve"> </w:t>
      </w:r>
      <w:r w:rsidR="00ED4DBD" w:rsidRPr="00651749">
        <w:rPr>
          <w:lang w:val="nl-NL"/>
        </w:rPr>
        <w:t xml:space="preserve">tổ chức, cá nhân sai phạm theo quy định của pháp luật; </w:t>
      </w:r>
      <w:r w:rsidR="00722528" w:rsidRPr="00651749">
        <w:rPr>
          <w:lang w:val="nl-NL"/>
        </w:rPr>
        <w:t xml:space="preserve">tăng cường công tác </w:t>
      </w:r>
      <w:r w:rsidR="00ED4DBD" w:rsidRPr="00651749">
        <w:rPr>
          <w:lang w:val="nl-NL"/>
        </w:rPr>
        <w:t xml:space="preserve">đào tạo, bồi dưỡng nâng cao trách nhiệm nghề nghiệp cho cán bộ công tác trong lĩnh vực đất đai, quy hoạch, xây dựng. </w:t>
      </w:r>
    </w:p>
    <w:p w:rsidR="00F7687B" w:rsidRPr="006133C7" w:rsidRDefault="00F7687B" w:rsidP="006133C7">
      <w:pPr>
        <w:ind w:firstLine="720"/>
        <w:rPr>
          <w:szCs w:val="28"/>
          <w:lang w:val="nl-NL"/>
        </w:rPr>
      </w:pPr>
      <w:r w:rsidRPr="006133C7">
        <w:rPr>
          <w:lang w:val="de-DE"/>
        </w:rPr>
        <w:t>Trên đây là Báo cáo thẩm tra của Ban Kinh tế - Ngân sách</w:t>
      </w:r>
      <w:r w:rsidRPr="006133C7">
        <w:rPr>
          <w:bCs/>
          <w:lang w:val="de-DE"/>
        </w:rPr>
        <w:t>,</w:t>
      </w:r>
      <w:r w:rsidRPr="006133C7">
        <w:rPr>
          <w:lang w:val="de-DE"/>
        </w:rPr>
        <w:t xml:space="preserve"> k</w:t>
      </w:r>
      <w:r w:rsidRPr="00651749">
        <w:rPr>
          <w:lang w:val="nl-NL"/>
        </w:rPr>
        <w:t xml:space="preserve">ính trình Hội đồng nhân dân tỉnh Khóa XI </w:t>
      </w:r>
      <w:r w:rsidRPr="006133C7">
        <w:rPr>
          <w:lang w:val="de-DE"/>
        </w:rPr>
        <w:t>K</w:t>
      </w:r>
      <w:r w:rsidRPr="00651749">
        <w:rPr>
          <w:lang w:val="nl-NL"/>
        </w:rPr>
        <w:t>ỳ họp</w:t>
      </w:r>
      <w:r w:rsidRPr="006133C7">
        <w:rPr>
          <w:lang w:val="de-DE"/>
        </w:rPr>
        <w:t xml:space="preserve"> thứ 1</w:t>
      </w:r>
      <w:r w:rsidR="00B900D4" w:rsidRPr="006133C7">
        <w:rPr>
          <w:lang w:val="de-DE"/>
        </w:rPr>
        <w:t>1</w:t>
      </w:r>
      <w:r w:rsidRPr="006133C7">
        <w:rPr>
          <w:lang w:val="de-DE"/>
        </w:rPr>
        <w:t xml:space="preserve"> </w:t>
      </w:r>
      <w:r w:rsidRPr="00651749">
        <w:rPr>
          <w:lang w:val="nl-NL"/>
        </w:rPr>
        <w:t>xem xét, quyết định</w:t>
      </w:r>
      <w:r w:rsidRPr="006133C7">
        <w:rPr>
          <w:szCs w:val="28"/>
          <w:lang w:val="nl-NL"/>
        </w:rPr>
        <w:t>./.</w:t>
      </w:r>
    </w:p>
    <w:tbl>
      <w:tblPr>
        <w:tblW w:w="5000" w:type="pct"/>
        <w:tblLook w:val="01E0" w:firstRow="1" w:lastRow="1" w:firstColumn="1" w:lastColumn="1" w:noHBand="0" w:noVBand="0"/>
      </w:tblPr>
      <w:tblGrid>
        <w:gridCol w:w="4315"/>
        <w:gridCol w:w="4973"/>
      </w:tblGrid>
      <w:tr w:rsidR="006133C7" w:rsidRPr="006133C7" w:rsidTr="00646550">
        <w:tc>
          <w:tcPr>
            <w:tcW w:w="2323" w:type="pct"/>
            <w:shd w:val="clear" w:color="auto" w:fill="auto"/>
          </w:tcPr>
          <w:p w:rsidR="00F7687B" w:rsidRPr="00651749" w:rsidRDefault="00F7687B" w:rsidP="00B900D4">
            <w:pPr>
              <w:spacing w:before="0" w:after="0"/>
              <w:rPr>
                <w:b/>
                <w:i/>
                <w:sz w:val="24"/>
                <w:lang w:val="nl-NL"/>
              </w:rPr>
            </w:pPr>
            <w:r w:rsidRPr="00651749">
              <w:rPr>
                <w:b/>
                <w:i/>
                <w:sz w:val="24"/>
                <w:lang w:val="nl-NL"/>
              </w:rPr>
              <w:t>Nơi nhận:</w:t>
            </w:r>
          </w:p>
          <w:p w:rsidR="00F7687B" w:rsidRPr="00651749" w:rsidRDefault="00F7687B" w:rsidP="00B900D4">
            <w:pPr>
              <w:spacing w:before="0" w:after="0"/>
              <w:rPr>
                <w:sz w:val="22"/>
                <w:lang w:val="nl-NL"/>
              </w:rPr>
            </w:pPr>
            <w:r w:rsidRPr="00651749">
              <w:rPr>
                <w:sz w:val="22"/>
                <w:lang w:val="nl-NL"/>
              </w:rPr>
              <w:t>- Thường trực HĐND tỉnh;</w:t>
            </w:r>
          </w:p>
          <w:p w:rsidR="00F7687B" w:rsidRPr="00651749" w:rsidRDefault="00F7687B" w:rsidP="00B900D4">
            <w:pPr>
              <w:spacing w:before="0" w:after="0"/>
              <w:rPr>
                <w:sz w:val="22"/>
                <w:lang w:val="nl-NL"/>
              </w:rPr>
            </w:pPr>
            <w:r w:rsidRPr="00651749">
              <w:rPr>
                <w:sz w:val="22"/>
                <w:lang w:val="nl-NL"/>
              </w:rPr>
              <w:t>- UBND tỉnh;</w:t>
            </w:r>
          </w:p>
          <w:p w:rsidR="00F7687B" w:rsidRPr="00651749" w:rsidRDefault="00F7687B" w:rsidP="00B900D4">
            <w:pPr>
              <w:spacing w:before="0" w:after="0"/>
              <w:rPr>
                <w:sz w:val="22"/>
                <w:lang w:val="nl-NL"/>
              </w:rPr>
            </w:pPr>
            <w:r w:rsidRPr="00651749">
              <w:rPr>
                <w:sz w:val="22"/>
                <w:lang w:val="nl-NL"/>
              </w:rPr>
              <w:t>- Đại biểu HĐND tỉnh;</w:t>
            </w:r>
          </w:p>
          <w:p w:rsidR="00F7687B" w:rsidRPr="006133C7" w:rsidRDefault="00F7687B" w:rsidP="001860CB">
            <w:pPr>
              <w:spacing w:before="0" w:after="0"/>
            </w:pPr>
            <w:r w:rsidRPr="006133C7">
              <w:rPr>
                <w:sz w:val="22"/>
              </w:rPr>
              <w:t>- Lưu: VT, Ban KT-NS</w:t>
            </w:r>
            <w:r w:rsidRPr="006133C7">
              <w:rPr>
                <w:sz w:val="14"/>
              </w:rPr>
              <w:t>.</w:t>
            </w:r>
          </w:p>
        </w:tc>
        <w:tc>
          <w:tcPr>
            <w:tcW w:w="2677" w:type="pct"/>
            <w:shd w:val="clear" w:color="auto" w:fill="auto"/>
          </w:tcPr>
          <w:p w:rsidR="00F7687B" w:rsidRPr="006133C7" w:rsidRDefault="00F7687B" w:rsidP="00B900D4">
            <w:pPr>
              <w:spacing w:before="0" w:after="0"/>
              <w:jc w:val="center"/>
              <w:rPr>
                <w:b/>
              </w:rPr>
            </w:pPr>
            <w:r w:rsidRPr="006133C7">
              <w:rPr>
                <w:b/>
              </w:rPr>
              <w:t>TM. BAN KINH TẾ - NGÂN SÁCH</w:t>
            </w:r>
          </w:p>
          <w:p w:rsidR="00F7687B" w:rsidRPr="006133C7" w:rsidRDefault="00F7687B" w:rsidP="00B900D4">
            <w:pPr>
              <w:spacing w:before="0" w:after="0"/>
              <w:jc w:val="center"/>
              <w:rPr>
                <w:b/>
                <w:sz w:val="26"/>
              </w:rPr>
            </w:pPr>
            <w:r w:rsidRPr="006133C7">
              <w:rPr>
                <w:b/>
              </w:rPr>
              <w:t>TRƯỞNG BAN</w:t>
            </w:r>
          </w:p>
          <w:p w:rsidR="00F7687B" w:rsidRPr="006133C7" w:rsidRDefault="00651749" w:rsidP="00B900D4">
            <w:pPr>
              <w:spacing w:before="0" w:after="0"/>
              <w:jc w:val="center"/>
              <w:rPr>
                <w:b/>
                <w:sz w:val="26"/>
              </w:rPr>
            </w:pPr>
            <w:r>
              <w:rPr>
                <w:b/>
                <w:sz w:val="26"/>
              </w:rPr>
              <w:t>Đã lý</w:t>
            </w:r>
            <w:bookmarkStart w:id="0" w:name="_GoBack"/>
            <w:bookmarkEnd w:id="0"/>
          </w:p>
          <w:p w:rsidR="00F7687B" w:rsidRPr="006133C7" w:rsidRDefault="00F7687B" w:rsidP="00B900D4">
            <w:pPr>
              <w:spacing w:before="0" w:after="0"/>
              <w:jc w:val="center"/>
              <w:rPr>
                <w:b/>
                <w:sz w:val="26"/>
              </w:rPr>
            </w:pPr>
          </w:p>
          <w:p w:rsidR="00F7687B" w:rsidRPr="006133C7" w:rsidRDefault="00F7687B" w:rsidP="00B900D4">
            <w:pPr>
              <w:spacing w:before="0" w:after="0"/>
              <w:jc w:val="center"/>
              <w:rPr>
                <w:b/>
                <w:szCs w:val="28"/>
              </w:rPr>
            </w:pPr>
            <w:r w:rsidRPr="006133C7">
              <w:rPr>
                <w:b/>
                <w:sz w:val="26"/>
              </w:rPr>
              <w:t>Hồ Văn Đà</w:t>
            </w:r>
          </w:p>
        </w:tc>
      </w:tr>
    </w:tbl>
    <w:p w:rsidR="00F7687B" w:rsidRPr="006133C7" w:rsidRDefault="00F7687B" w:rsidP="00F7687B">
      <w:pPr>
        <w:spacing w:line="264" w:lineRule="auto"/>
        <w:ind w:firstLine="709"/>
        <w:jc w:val="both"/>
        <w:rPr>
          <w:szCs w:val="28"/>
          <w:lang w:val="sv-SE"/>
        </w:rPr>
      </w:pPr>
    </w:p>
    <w:p w:rsidR="008B50A4" w:rsidRPr="006133C7" w:rsidRDefault="008B50A4"/>
    <w:sectPr w:rsidR="008B50A4" w:rsidRPr="006133C7" w:rsidSect="00D4642E">
      <w:headerReference w:type="default" r:id="rId8"/>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7C1" w:rsidRDefault="009A07C1" w:rsidP="00F7687B">
      <w:pPr>
        <w:spacing w:before="0" w:after="0"/>
      </w:pPr>
      <w:r>
        <w:separator/>
      </w:r>
    </w:p>
  </w:endnote>
  <w:endnote w:type="continuationSeparator" w:id="0">
    <w:p w:rsidR="009A07C1" w:rsidRDefault="009A07C1" w:rsidP="00F7687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7C1" w:rsidRDefault="009A07C1" w:rsidP="00F7687B">
      <w:pPr>
        <w:spacing w:before="0" w:after="0"/>
      </w:pPr>
      <w:r>
        <w:separator/>
      </w:r>
    </w:p>
  </w:footnote>
  <w:footnote w:type="continuationSeparator" w:id="0">
    <w:p w:rsidR="009A07C1" w:rsidRDefault="009A07C1" w:rsidP="00F7687B">
      <w:pPr>
        <w:spacing w:before="0" w:after="0"/>
      </w:pPr>
      <w:r>
        <w:continuationSeparator/>
      </w:r>
    </w:p>
  </w:footnote>
  <w:footnote w:id="1">
    <w:p w:rsidR="00046FE6" w:rsidRDefault="00046FE6" w:rsidP="00046FE6">
      <w:pPr>
        <w:pStyle w:val="FootnoteText"/>
        <w:jc w:val="both"/>
      </w:pPr>
      <w:r w:rsidRPr="00046FE6">
        <w:rPr>
          <w:b/>
          <w:vertAlign w:val="superscript"/>
        </w:rPr>
        <w:t>(</w:t>
      </w:r>
      <w:r w:rsidRPr="00046FE6">
        <w:rPr>
          <w:rStyle w:val="FootnoteReference"/>
          <w:b/>
        </w:rPr>
        <w:footnoteRef/>
      </w:r>
      <w:r w:rsidRPr="00046FE6">
        <w:rPr>
          <w:b/>
          <w:vertAlign w:val="superscript"/>
        </w:rPr>
        <w:t>)</w:t>
      </w:r>
      <w:r w:rsidRPr="00E12A5B">
        <w:t xml:space="preserve"> </w:t>
      </w:r>
      <w:r>
        <w:t xml:space="preserve">- Chỉ thị số 04/CT-UBND ngày 19/02/2020 về việc tăng cường công tác quản lý về đất </w:t>
      </w:r>
      <w:proofErr w:type="gramStart"/>
      <w:r>
        <w:t>đai</w:t>
      </w:r>
      <w:proofErr w:type="gramEnd"/>
      <w:r>
        <w:t>, quy hoạch, xây dựng trên địa bàn tỉnh.</w:t>
      </w:r>
    </w:p>
    <w:p w:rsidR="00046FE6" w:rsidRDefault="00046FE6" w:rsidP="00046FE6">
      <w:pPr>
        <w:pStyle w:val="FootnoteText"/>
        <w:jc w:val="both"/>
      </w:pPr>
      <w:r>
        <w:t xml:space="preserve">- Kế hoạch số 443/KH-UBND ngày 19/02/2020 về việc thực hiện các kết luận của Ban Thường vụ Tỉnh ủy, Nghị quyết của Hội đồng nhân dân tỉnh liên quan đến công tác quản lý về đất đai, quy hoạch, xây dựng trên địa bàn tỉnh. </w:t>
      </w:r>
    </w:p>
    <w:p w:rsidR="00046FE6" w:rsidRDefault="00046FE6" w:rsidP="00046FE6">
      <w:pPr>
        <w:pStyle w:val="FootnoteText"/>
        <w:jc w:val="both"/>
      </w:pPr>
      <w:r>
        <w:t>- Kế hoạch số 859/KH-UBND ngày 21/3/2020 về việc thực hiện Quyết định số 1398/QĐ-TTg ngày 16/10/2019 của Thủ tướng Chính phủ về việc ban hành Kế hoạch thực hiện Nghị quyết số 83/2019/QH14 ngày 14/6/2019 của Quốc hội về hoạt động chất vấn tại kỳ họp thứ 7, Quốc hội khóa XIV đối với lĩnh vực xây dựng.</w:t>
      </w:r>
    </w:p>
    <w:p w:rsidR="00046FE6" w:rsidRPr="00E12A5B" w:rsidRDefault="00046FE6" w:rsidP="00046FE6">
      <w:pPr>
        <w:pStyle w:val="FootnoteText"/>
        <w:jc w:val="both"/>
      </w:pPr>
      <w:r>
        <w:t>- Quyết định số 11/2020/QĐ-UBND ngày 08/4/2020 về việc ban hành Quy chế Phối hợp, phân công trách nhiệm giữa các ngành, các cấp trong công tác giải tỏa và xử lý việc lấn chiếm lòng đường, vỉa hè, lập chợ tự phát trong các đô thị trên địa bàn tỉnh Kon Tum.</w:t>
      </w:r>
    </w:p>
  </w:footnote>
  <w:footnote w:id="2">
    <w:p w:rsidR="00F7687B" w:rsidRPr="00F8558A" w:rsidRDefault="00F7687B" w:rsidP="00046FE6">
      <w:pPr>
        <w:pStyle w:val="FootnoteText"/>
        <w:jc w:val="both"/>
      </w:pPr>
      <w:r w:rsidRPr="00E12A5B">
        <w:rPr>
          <w:vertAlign w:val="superscript"/>
        </w:rPr>
        <w:t>(</w:t>
      </w:r>
      <w:r w:rsidRPr="00E12A5B">
        <w:rPr>
          <w:rStyle w:val="FootnoteReference"/>
        </w:rPr>
        <w:footnoteRef/>
      </w:r>
      <w:r w:rsidRPr="00E12A5B">
        <w:rPr>
          <w:vertAlign w:val="superscript"/>
        </w:rPr>
        <w:t>)</w:t>
      </w:r>
      <w:r w:rsidRPr="00E12A5B">
        <w:t xml:space="preserve"> Ủy ban nhân dân tỉnh có Công văn số 2198/UBND-NNTN ngày 22 tháng 6 năm 2020 chỉ đạo các đơn vị xử lý vi phạm, thực hiện các nội dung theo kiến nghị của Sở Tài nguyên và Môi trường, Công văn số 2428/UBND-NNTN ngày 08 tháng 7 năm 2020 chỉ đạo Giám đốc Sở Tài nguyên và Môi trường lập thủ tục chuyển hồ sơ Kết luận thanh tra sang Cơ quan Cảnh sát điều tra - Công an tỉnh để tiến hành điều tra dấu hiệu tội phạm và xử lý theo quy định pháp luật.</w:t>
      </w:r>
    </w:p>
  </w:footnote>
  <w:footnote w:id="3">
    <w:p w:rsidR="00F7687B" w:rsidRDefault="00F7687B" w:rsidP="00046FE6">
      <w:pPr>
        <w:pStyle w:val="FootnoteText"/>
        <w:jc w:val="both"/>
      </w:pPr>
      <w:r w:rsidRPr="00057682">
        <w:rPr>
          <w:vertAlign w:val="superscript"/>
        </w:rPr>
        <w:t>(</w:t>
      </w:r>
      <w:r w:rsidRPr="00057682">
        <w:rPr>
          <w:rStyle w:val="FootnoteReference"/>
        </w:rPr>
        <w:footnoteRef/>
      </w:r>
      <w:r w:rsidRPr="00057682">
        <w:rPr>
          <w:vertAlign w:val="superscript"/>
        </w:rPr>
        <w:t>)</w:t>
      </w:r>
      <w:r>
        <w:t xml:space="preserve"> </w:t>
      </w:r>
      <w:r w:rsidRPr="00F8558A">
        <w:t>Kết quả xử lý trách</w:t>
      </w:r>
      <w:r w:rsidRPr="00E12A5B">
        <w:t xml:space="preserve"> nhiệm của các</w:t>
      </w:r>
      <w:r>
        <w:t xml:space="preserve"> tổ chức, cá nhân có liên quan:</w:t>
      </w:r>
    </w:p>
    <w:p w:rsidR="00F7687B" w:rsidRDefault="00F7687B" w:rsidP="00046FE6">
      <w:pPr>
        <w:pStyle w:val="FootnoteText"/>
        <w:jc w:val="both"/>
      </w:pPr>
      <w:r>
        <w:t xml:space="preserve">- </w:t>
      </w:r>
      <w:r w:rsidRPr="00E12A5B">
        <w:t xml:space="preserve">Ủy ban nhân dân thành phố Kon Tum đã có Báo cáo số 696/BC-UBND ngày 21 tháng 7 năm 2020 về việc kiểm điểm đối với các tập thể cá nhân liên quan các hạn chế, sai phạm theo Kết luận thanh tra số </w:t>
      </w:r>
      <w:r w:rsidRPr="00E12A5B">
        <w:rPr>
          <w:szCs w:val="22"/>
        </w:rPr>
        <w:t xml:space="preserve">04/KL-STNMT; tuy nhiên, Sở Tài nguyên và Môi trường, không thống nhất với nội dung kiểm điểm; đề nghị Sở Nội vụ xem xét, yêu cầu Ủy ban nhân dân thành phố Kon Tum làm rõ các nội dung chưa đảm bảo. Sở Nội vụ đã có Công văn số 1616/SNV-CCVC ngày 16 tháng 8 năm 2020 đề nghị Ủy ban nhân dân thành phố Kon Tum kiểm tra, làm rõ các nội dung như đề nghị của Sở Tài nguyên và Môi trường. Hiện nay, Ủy ban nhân dân thành phố Kon Tum đang tổ chức thực hiện nội dung này. Về Phương án khắc phục </w:t>
      </w:r>
      <w:r w:rsidRPr="00E12A5B">
        <w:t>hậu quả, hướng xử lý đối với các nội dung vi phạm, hạn chế đã được nêu trong kết luận thanh tra: Hiện nay Ủy ban nhân dân thành phố Kon Tum chưa triển khai thực hiện, Sở Tài nguyên và Môi trường đã có Công văn số 2931/STNMT-TTr ngày 27 tháng 10 năm 2020 đôn đốc Ủy ban nhân dân thành phố Kon Tum thực hiện nội dung trên.</w:t>
      </w:r>
    </w:p>
    <w:p w:rsidR="00F7687B" w:rsidRPr="00F8558A" w:rsidRDefault="00F7687B" w:rsidP="00046FE6">
      <w:pPr>
        <w:pStyle w:val="FootnoteText"/>
        <w:jc w:val="both"/>
      </w:pPr>
      <w:r w:rsidRPr="00F8558A">
        <w:t>- Sở Tài nguyên và Môi trường đã có Công văn số 82/STNMT-VP ngày 28 tháng 9 năm 2020 báo cáo, đề xuất Ban cán sự đảng Ủy ban nhân dân tỉnh về hình thức xử lý kỷ luật cán bộ; Ban cán sự đảng Ủy ban nhân dân tỉnh đang xin ý kiến đối với trường hợp thuộc thẩm quyền của Ban Thường vụ Tỉnh ủy.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935090"/>
      <w:docPartObj>
        <w:docPartGallery w:val="Page Numbers (Top of Page)"/>
        <w:docPartUnique/>
      </w:docPartObj>
    </w:sdtPr>
    <w:sdtEndPr>
      <w:rPr>
        <w:noProof/>
      </w:rPr>
    </w:sdtEndPr>
    <w:sdtContent>
      <w:p w:rsidR="00F27DA9" w:rsidRDefault="00F27DA9">
        <w:pPr>
          <w:pStyle w:val="Header"/>
          <w:jc w:val="center"/>
        </w:pPr>
        <w:r>
          <w:fldChar w:fldCharType="begin"/>
        </w:r>
        <w:r>
          <w:instrText xml:space="preserve"> PAGE   \* MERGEFORMAT </w:instrText>
        </w:r>
        <w:r>
          <w:fldChar w:fldCharType="separate"/>
        </w:r>
        <w:r w:rsidR="00651749">
          <w:rPr>
            <w:noProof/>
          </w:rPr>
          <w:t>3</w:t>
        </w:r>
        <w:r>
          <w:rPr>
            <w:noProof/>
          </w:rPr>
          <w:fldChar w:fldCharType="end"/>
        </w:r>
      </w:p>
    </w:sdtContent>
  </w:sdt>
  <w:p w:rsidR="006A5483" w:rsidRDefault="009A07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C2289"/>
    <w:multiLevelType w:val="hybridMultilevel"/>
    <w:tmpl w:val="5470B7AC"/>
    <w:lvl w:ilvl="0" w:tplc="A890488A">
      <w:start w:val="1"/>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87B"/>
    <w:rsid w:val="0001122F"/>
    <w:rsid w:val="00046FE6"/>
    <w:rsid w:val="000D2B3C"/>
    <w:rsid w:val="001124F4"/>
    <w:rsid w:val="00156A41"/>
    <w:rsid w:val="001829FD"/>
    <w:rsid w:val="001860CB"/>
    <w:rsid w:val="001E7932"/>
    <w:rsid w:val="00401546"/>
    <w:rsid w:val="004366B5"/>
    <w:rsid w:val="004E3EE0"/>
    <w:rsid w:val="006133C7"/>
    <w:rsid w:val="00651749"/>
    <w:rsid w:val="0065421C"/>
    <w:rsid w:val="00722528"/>
    <w:rsid w:val="0076312E"/>
    <w:rsid w:val="00793BB9"/>
    <w:rsid w:val="007D31C9"/>
    <w:rsid w:val="008063AD"/>
    <w:rsid w:val="00827DA8"/>
    <w:rsid w:val="00886A56"/>
    <w:rsid w:val="0089068A"/>
    <w:rsid w:val="008B50A4"/>
    <w:rsid w:val="009800D1"/>
    <w:rsid w:val="009A07C1"/>
    <w:rsid w:val="009D695E"/>
    <w:rsid w:val="00A40C17"/>
    <w:rsid w:val="00A759A4"/>
    <w:rsid w:val="00A85C7D"/>
    <w:rsid w:val="00A9349A"/>
    <w:rsid w:val="00AB106E"/>
    <w:rsid w:val="00B900D4"/>
    <w:rsid w:val="00D66E9A"/>
    <w:rsid w:val="00ED4DBD"/>
    <w:rsid w:val="00F0312B"/>
    <w:rsid w:val="00F27DA9"/>
    <w:rsid w:val="00F7687B"/>
    <w:rsid w:val="00FE2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t,C"/>
    <w:basedOn w:val="Normal"/>
    <w:link w:val="FootnoteTextChar"/>
    <w:unhideWhenUsed/>
    <w:qFormat/>
    <w:rsid w:val="00F7687B"/>
    <w:pPr>
      <w:spacing w:before="0" w:after="0"/>
    </w:pPr>
    <w:rPr>
      <w:rFonts w:eastAsia="Calibri" w:cs="Times New Roman"/>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t Char,C Char"/>
    <w:basedOn w:val="DefaultParagraphFont"/>
    <w:link w:val="FootnoteText"/>
    <w:qFormat/>
    <w:rsid w:val="00F7687B"/>
    <w:rPr>
      <w:rFonts w:eastAsia="Calibri"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Footnote text + 13 pt,R"/>
    <w:link w:val="ftrefCharCharChar1Char"/>
    <w:unhideWhenUsed/>
    <w:qFormat/>
    <w:rsid w:val="00F7687B"/>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rsid w:val="00F7687B"/>
    <w:pPr>
      <w:spacing w:before="0" w:after="160" w:line="240" w:lineRule="exact"/>
    </w:pPr>
    <w:rPr>
      <w:vertAlign w:val="superscript"/>
    </w:rPr>
  </w:style>
  <w:style w:type="paragraph" w:styleId="Header">
    <w:name w:val="header"/>
    <w:basedOn w:val="Normal"/>
    <w:link w:val="HeaderChar"/>
    <w:uiPriority w:val="99"/>
    <w:unhideWhenUsed/>
    <w:rsid w:val="00F7687B"/>
    <w:pPr>
      <w:tabs>
        <w:tab w:val="center" w:pos="4680"/>
        <w:tab w:val="right" w:pos="9360"/>
      </w:tabs>
      <w:spacing w:before="0" w:after="0"/>
    </w:pPr>
    <w:rPr>
      <w:rFonts w:eastAsia="Calibri" w:cs="Times New Roman"/>
      <w:szCs w:val="20"/>
    </w:rPr>
  </w:style>
  <w:style w:type="character" w:customStyle="1" w:styleId="HeaderChar">
    <w:name w:val="Header Char"/>
    <w:basedOn w:val="DefaultParagraphFont"/>
    <w:link w:val="Header"/>
    <w:uiPriority w:val="99"/>
    <w:rsid w:val="00F7687B"/>
    <w:rPr>
      <w:rFonts w:eastAsia="Calibri" w:cs="Times New Roman"/>
      <w:szCs w:val="20"/>
    </w:rPr>
  </w:style>
  <w:style w:type="paragraph" w:styleId="Footer">
    <w:name w:val="footer"/>
    <w:basedOn w:val="Normal"/>
    <w:link w:val="FooterChar"/>
    <w:uiPriority w:val="99"/>
    <w:unhideWhenUsed/>
    <w:rsid w:val="00F27DA9"/>
    <w:pPr>
      <w:tabs>
        <w:tab w:val="center" w:pos="4680"/>
        <w:tab w:val="right" w:pos="9360"/>
      </w:tabs>
      <w:spacing w:before="0" w:after="0"/>
    </w:pPr>
  </w:style>
  <w:style w:type="character" w:customStyle="1" w:styleId="FooterChar">
    <w:name w:val="Footer Char"/>
    <w:basedOn w:val="DefaultParagraphFont"/>
    <w:link w:val="Footer"/>
    <w:uiPriority w:val="99"/>
    <w:rsid w:val="00F27D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t,C"/>
    <w:basedOn w:val="Normal"/>
    <w:link w:val="FootnoteTextChar"/>
    <w:unhideWhenUsed/>
    <w:qFormat/>
    <w:rsid w:val="00F7687B"/>
    <w:pPr>
      <w:spacing w:before="0" w:after="0"/>
    </w:pPr>
    <w:rPr>
      <w:rFonts w:eastAsia="Calibri" w:cs="Times New Roman"/>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t Char,C Char"/>
    <w:basedOn w:val="DefaultParagraphFont"/>
    <w:link w:val="FootnoteText"/>
    <w:qFormat/>
    <w:rsid w:val="00F7687B"/>
    <w:rPr>
      <w:rFonts w:eastAsia="Calibri"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Footnote text + 13 pt,R"/>
    <w:link w:val="ftrefCharCharChar1Char"/>
    <w:unhideWhenUsed/>
    <w:qFormat/>
    <w:rsid w:val="00F7687B"/>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rsid w:val="00F7687B"/>
    <w:pPr>
      <w:spacing w:before="0" w:after="160" w:line="240" w:lineRule="exact"/>
    </w:pPr>
    <w:rPr>
      <w:vertAlign w:val="superscript"/>
    </w:rPr>
  </w:style>
  <w:style w:type="paragraph" w:styleId="Header">
    <w:name w:val="header"/>
    <w:basedOn w:val="Normal"/>
    <w:link w:val="HeaderChar"/>
    <w:uiPriority w:val="99"/>
    <w:unhideWhenUsed/>
    <w:rsid w:val="00F7687B"/>
    <w:pPr>
      <w:tabs>
        <w:tab w:val="center" w:pos="4680"/>
        <w:tab w:val="right" w:pos="9360"/>
      </w:tabs>
      <w:spacing w:before="0" w:after="0"/>
    </w:pPr>
    <w:rPr>
      <w:rFonts w:eastAsia="Calibri" w:cs="Times New Roman"/>
      <w:szCs w:val="20"/>
    </w:rPr>
  </w:style>
  <w:style w:type="character" w:customStyle="1" w:styleId="HeaderChar">
    <w:name w:val="Header Char"/>
    <w:basedOn w:val="DefaultParagraphFont"/>
    <w:link w:val="Header"/>
    <w:uiPriority w:val="99"/>
    <w:rsid w:val="00F7687B"/>
    <w:rPr>
      <w:rFonts w:eastAsia="Calibri" w:cs="Times New Roman"/>
      <w:szCs w:val="20"/>
    </w:rPr>
  </w:style>
  <w:style w:type="paragraph" w:styleId="Footer">
    <w:name w:val="footer"/>
    <w:basedOn w:val="Normal"/>
    <w:link w:val="FooterChar"/>
    <w:uiPriority w:val="99"/>
    <w:unhideWhenUsed/>
    <w:rsid w:val="00F27DA9"/>
    <w:pPr>
      <w:tabs>
        <w:tab w:val="center" w:pos="4680"/>
        <w:tab w:val="right" w:pos="9360"/>
      </w:tabs>
      <w:spacing w:before="0" w:after="0"/>
    </w:pPr>
  </w:style>
  <w:style w:type="character" w:customStyle="1" w:styleId="FooterChar">
    <w:name w:val="Footer Char"/>
    <w:basedOn w:val="DefaultParagraphFont"/>
    <w:link w:val="Footer"/>
    <w:uiPriority w:val="99"/>
    <w:rsid w:val="00F27D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2020-11-28T01:10:00Z</dcterms:created>
  <dcterms:modified xsi:type="dcterms:W3CDTF">2020-11-30T06:47:00Z</dcterms:modified>
</cp:coreProperties>
</file>