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3" w:type="dxa"/>
        <w:jc w:val="center"/>
        <w:tblLook w:val="04A0" w:firstRow="1" w:lastRow="0" w:firstColumn="1" w:lastColumn="0" w:noHBand="0" w:noVBand="1"/>
      </w:tblPr>
      <w:tblGrid>
        <w:gridCol w:w="3636"/>
        <w:gridCol w:w="5847"/>
      </w:tblGrid>
      <w:tr w:rsidR="00614694" w:rsidRPr="00510DEC" w14:paraId="52235692" w14:textId="77777777" w:rsidTr="00B22DEF">
        <w:trPr>
          <w:jc w:val="center"/>
        </w:trPr>
        <w:tc>
          <w:tcPr>
            <w:tcW w:w="3636" w:type="dxa"/>
            <w:shd w:val="clear" w:color="auto" w:fill="auto"/>
          </w:tcPr>
          <w:p w14:paraId="26B2855D" w14:textId="3AB27995" w:rsidR="00614694" w:rsidRPr="00510DEC" w:rsidRDefault="00B22DEF" w:rsidP="00E31542">
            <w:pPr>
              <w:jc w:val="center"/>
              <w:rPr>
                <w:sz w:val="26"/>
              </w:rPr>
            </w:pPr>
            <w:bookmarkStart w:id="0" w:name="_Hlk66458490"/>
            <w:r w:rsidRPr="00B22DEF">
              <w:rPr>
                <w:bCs/>
                <w:sz w:val="26"/>
              </w:rPr>
              <w:t xml:space="preserve">THƯỜNG TRỰC </w:t>
            </w:r>
            <w:r w:rsidR="00286A06">
              <w:rPr>
                <w:sz w:val="26"/>
              </w:rPr>
              <w:t>HĐND</w:t>
            </w:r>
            <w:r w:rsidR="00614694" w:rsidRPr="00510DEC">
              <w:rPr>
                <w:sz w:val="26"/>
              </w:rPr>
              <w:t xml:space="preserve"> TỈNH</w:t>
            </w:r>
          </w:p>
        </w:tc>
        <w:tc>
          <w:tcPr>
            <w:tcW w:w="5847" w:type="dxa"/>
            <w:shd w:val="clear" w:color="auto" w:fill="auto"/>
          </w:tcPr>
          <w:p w14:paraId="29B2F9BB" w14:textId="77777777" w:rsidR="00614694" w:rsidRPr="001B07A2" w:rsidRDefault="00614694" w:rsidP="00E31542">
            <w:pPr>
              <w:jc w:val="center"/>
              <w:rPr>
                <w:b/>
                <w:sz w:val="26"/>
                <w:szCs w:val="26"/>
              </w:rPr>
            </w:pPr>
            <w:r w:rsidRPr="001B07A2">
              <w:rPr>
                <w:b/>
                <w:sz w:val="26"/>
                <w:szCs w:val="26"/>
              </w:rPr>
              <w:t>CỘNG HOÀ XÃ HỘI CHỦ NGHĨA VIỆT NAM</w:t>
            </w:r>
          </w:p>
        </w:tc>
      </w:tr>
      <w:tr w:rsidR="00614694" w:rsidRPr="00510DEC" w14:paraId="01721856" w14:textId="77777777" w:rsidTr="00B22DEF">
        <w:trPr>
          <w:jc w:val="center"/>
        </w:trPr>
        <w:tc>
          <w:tcPr>
            <w:tcW w:w="3636" w:type="dxa"/>
            <w:shd w:val="clear" w:color="auto" w:fill="auto"/>
          </w:tcPr>
          <w:p w14:paraId="30BCFE80" w14:textId="1E76F030" w:rsidR="00614694" w:rsidRPr="00510DEC" w:rsidRDefault="00B22DEF" w:rsidP="00E31542">
            <w:pPr>
              <w:jc w:val="center"/>
              <w:rPr>
                <w:b/>
              </w:rPr>
            </w:pPr>
            <w:r>
              <w:rPr>
                <w:b/>
              </w:rPr>
              <w:t>ĐOÀN GIÁM SÁT</w:t>
            </w:r>
          </w:p>
        </w:tc>
        <w:tc>
          <w:tcPr>
            <w:tcW w:w="5847" w:type="dxa"/>
            <w:shd w:val="clear" w:color="auto" w:fill="auto"/>
          </w:tcPr>
          <w:p w14:paraId="5D7C37B6" w14:textId="40FBB5AD" w:rsidR="00614694" w:rsidRPr="001B07A2" w:rsidRDefault="00614694" w:rsidP="00E31542">
            <w:pPr>
              <w:jc w:val="center"/>
              <w:rPr>
                <w:b/>
                <w:sz w:val="26"/>
                <w:szCs w:val="26"/>
              </w:rPr>
            </w:pPr>
            <w:r w:rsidRPr="001B07A2">
              <w:rPr>
                <w:b/>
                <w:szCs w:val="26"/>
              </w:rPr>
              <w:t>Độc lập - Tự do - Hạnh phúc</w:t>
            </w:r>
          </w:p>
        </w:tc>
      </w:tr>
      <w:tr w:rsidR="00614694" w:rsidRPr="0016067A" w14:paraId="42F73ECA" w14:textId="77777777" w:rsidTr="0016067A">
        <w:trPr>
          <w:trHeight w:val="93"/>
          <w:jc w:val="center"/>
        </w:trPr>
        <w:tc>
          <w:tcPr>
            <w:tcW w:w="3636" w:type="dxa"/>
            <w:shd w:val="clear" w:color="auto" w:fill="auto"/>
          </w:tcPr>
          <w:p w14:paraId="111C5F35" w14:textId="4E5F6D91" w:rsidR="00614694" w:rsidRPr="0016067A" w:rsidRDefault="00614694" w:rsidP="00E31542">
            <w:pPr>
              <w:jc w:val="center"/>
              <w:rPr>
                <w:b/>
                <w:sz w:val="16"/>
                <w:szCs w:val="10"/>
              </w:rPr>
            </w:pPr>
            <w:r w:rsidRPr="0016067A">
              <w:rPr>
                <w:noProof/>
                <w:sz w:val="16"/>
                <w:szCs w:val="10"/>
              </w:rPr>
              <mc:AlternateContent>
                <mc:Choice Requires="wps">
                  <w:drawing>
                    <wp:anchor distT="4294967295" distB="4294967295" distL="114300" distR="114300" simplePos="0" relativeHeight="251655168" behindDoc="0" locked="0" layoutInCell="1" allowOverlap="1" wp14:anchorId="333EBFEA" wp14:editId="50638F0F">
                      <wp:simplePos x="0" y="0"/>
                      <wp:positionH relativeFrom="margin">
                        <wp:align>center</wp:align>
                      </wp:positionH>
                      <wp:positionV relativeFrom="paragraph">
                        <wp:posOffset>25400</wp:posOffset>
                      </wp:positionV>
                      <wp:extent cx="6711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516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pt" to="5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">
                      <o:lock v:ext="edit" shapetype="f"/>
                      <w10:wrap anchorx="margin"/>
                    </v:line>
                  </w:pict>
                </mc:Fallback>
              </mc:AlternateContent>
            </w:r>
          </w:p>
        </w:tc>
        <w:tc>
          <w:tcPr>
            <w:tcW w:w="5847" w:type="dxa"/>
            <w:shd w:val="clear" w:color="auto" w:fill="auto"/>
          </w:tcPr>
          <w:p w14:paraId="087D1E12" w14:textId="0BAB9841" w:rsidR="00614694" w:rsidRPr="0016067A" w:rsidRDefault="00614694" w:rsidP="00E31542">
            <w:pPr>
              <w:jc w:val="center"/>
              <w:rPr>
                <w:b/>
                <w:sz w:val="16"/>
                <w:szCs w:val="10"/>
              </w:rPr>
            </w:pPr>
            <w:r w:rsidRPr="0016067A">
              <w:rPr>
                <w:noProof/>
                <w:sz w:val="16"/>
                <w:szCs w:val="10"/>
              </w:rPr>
              <mc:AlternateContent>
                <mc:Choice Requires="wps">
                  <w:drawing>
                    <wp:anchor distT="4294967295" distB="4294967295" distL="114300" distR="114300" simplePos="0" relativeHeight="251659264" behindDoc="0" locked="0" layoutInCell="1" allowOverlap="1" wp14:anchorId="09554130" wp14:editId="16741429">
                      <wp:simplePos x="0" y="0"/>
                      <wp:positionH relativeFrom="margin">
                        <wp:align>center</wp:align>
                      </wp:positionH>
                      <wp:positionV relativeFrom="paragraph">
                        <wp:posOffset>26034</wp:posOffset>
                      </wp:positionV>
                      <wp:extent cx="2099945"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99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05pt" to="165.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">
                      <o:lock v:ext="edit" shapetype="f"/>
                      <w10:wrap anchorx="margin"/>
                    </v:line>
                  </w:pict>
                </mc:Fallback>
              </mc:AlternateContent>
            </w:r>
          </w:p>
        </w:tc>
      </w:tr>
      <w:tr w:rsidR="00614694" w:rsidRPr="00510DEC" w14:paraId="72B1CDB0" w14:textId="77777777" w:rsidTr="00B22DEF">
        <w:trPr>
          <w:jc w:val="center"/>
        </w:trPr>
        <w:tc>
          <w:tcPr>
            <w:tcW w:w="3636" w:type="dxa"/>
            <w:shd w:val="clear" w:color="auto" w:fill="auto"/>
          </w:tcPr>
          <w:p w14:paraId="65474863" w14:textId="19EBD782" w:rsidR="00614694" w:rsidRPr="009C7C22" w:rsidRDefault="0016067A" w:rsidP="00F576A9">
            <w:pPr>
              <w:pStyle w:val="Heading1"/>
              <w:spacing w:before="0" w:after="0"/>
              <w:jc w:val="center"/>
              <w:rPr>
                <w:noProof/>
                <w:sz w:val="24"/>
              </w:rPr>
            </w:pPr>
            <w:r>
              <w:rPr>
                <w:noProof/>
                <w:sz w:val="24"/>
              </w:rPr>
              <w:t xml:space="preserve">Số: </w:t>
            </w:r>
            <w:r w:rsidR="00F576A9">
              <w:rPr>
                <w:noProof/>
                <w:sz w:val="24"/>
              </w:rPr>
              <w:t>30</w:t>
            </w:r>
            <w:r>
              <w:rPr>
                <w:noProof/>
                <w:sz w:val="24"/>
              </w:rPr>
              <w:t>/BC-ĐGS</w:t>
            </w:r>
          </w:p>
        </w:tc>
        <w:tc>
          <w:tcPr>
            <w:tcW w:w="5847" w:type="dxa"/>
            <w:shd w:val="clear" w:color="auto" w:fill="auto"/>
          </w:tcPr>
          <w:p w14:paraId="7AB0FB9E" w14:textId="741C84AD" w:rsidR="00614694" w:rsidRPr="00510DEC" w:rsidRDefault="00B444C0" w:rsidP="00F576A9">
            <w:pPr>
              <w:jc w:val="center"/>
              <w:rPr>
                <w:i/>
                <w:noProof/>
                <w:sz w:val="26"/>
              </w:rPr>
            </w:pPr>
            <w:r>
              <w:rPr>
                <w:i/>
                <w:noProof/>
                <w:sz w:val="26"/>
              </w:rPr>
              <w:t xml:space="preserve">Kon Tum, ngày </w:t>
            </w:r>
            <w:r w:rsidR="00F576A9">
              <w:rPr>
                <w:i/>
                <w:noProof/>
                <w:sz w:val="26"/>
              </w:rPr>
              <w:t>04</w:t>
            </w:r>
            <w:r>
              <w:rPr>
                <w:i/>
                <w:noProof/>
                <w:sz w:val="26"/>
              </w:rPr>
              <w:t xml:space="preserve">tháng </w:t>
            </w:r>
            <w:r w:rsidR="00F576A9">
              <w:rPr>
                <w:i/>
                <w:noProof/>
                <w:sz w:val="26"/>
              </w:rPr>
              <w:t>10</w:t>
            </w:r>
            <w:r>
              <w:rPr>
                <w:i/>
                <w:noProof/>
                <w:sz w:val="26"/>
              </w:rPr>
              <w:t xml:space="preserve"> năm </w:t>
            </w:r>
            <w:r w:rsidR="00F576A9">
              <w:rPr>
                <w:i/>
                <w:noProof/>
                <w:sz w:val="26"/>
              </w:rPr>
              <w:t>2022</w:t>
            </w:r>
            <w:r w:rsidR="004257D5">
              <w:rPr>
                <w:i/>
                <w:noProof/>
                <w:sz w:val="26"/>
              </w:rPr>
              <w:t xml:space="preserve"> </w:t>
            </w:r>
          </w:p>
        </w:tc>
      </w:tr>
    </w:tbl>
    <w:p w14:paraId="38915AAC" w14:textId="53FFCE49" w:rsidR="00E43997" w:rsidRDefault="00E43997" w:rsidP="006C6C71">
      <w:pPr>
        <w:jc w:val="center"/>
        <w:rPr>
          <w:b/>
        </w:rPr>
      </w:pPr>
    </w:p>
    <w:p w14:paraId="29175DCC" w14:textId="7E8579EA" w:rsidR="006C6C71" w:rsidRPr="006506A2" w:rsidRDefault="006C6C71" w:rsidP="006C6C71">
      <w:pPr>
        <w:jc w:val="center"/>
        <w:rPr>
          <w:b/>
        </w:rPr>
      </w:pPr>
      <w:r w:rsidRPr="006506A2">
        <w:rPr>
          <w:b/>
        </w:rPr>
        <w:t>BÁO CÁO</w:t>
      </w:r>
    </w:p>
    <w:p w14:paraId="7F1DF45A" w14:textId="57ECF5B7" w:rsidR="00C4431A" w:rsidRPr="00DD570D" w:rsidRDefault="00C4431A" w:rsidP="00C4431A">
      <w:pPr>
        <w:pStyle w:val="kgui"/>
        <w:tabs>
          <w:tab w:val="clear" w:pos="567"/>
          <w:tab w:val="clear" w:pos="2346"/>
          <w:tab w:val="clear" w:pos="9246"/>
        </w:tabs>
        <w:spacing w:before="0" w:after="0"/>
        <w:rPr>
          <w:rFonts w:ascii="Times New Roman" w:hAnsi="Times New Roman"/>
          <w:szCs w:val="28"/>
          <w:lang w:val="es-ES"/>
        </w:rPr>
      </w:pPr>
      <w:r w:rsidRPr="00DD570D">
        <w:rPr>
          <w:rFonts w:ascii="Times New Roman" w:hAnsi="Times New Roman"/>
          <w:szCs w:val="28"/>
        </w:rPr>
        <w:t>Kết quả giám sát</w:t>
      </w:r>
      <w:r w:rsidR="000079EB">
        <w:rPr>
          <w:szCs w:val="28"/>
        </w:rPr>
        <w:t xml:space="preserve"> </w:t>
      </w:r>
      <w:r w:rsidRPr="00DD570D">
        <w:rPr>
          <w:rFonts w:ascii="Times New Roman" w:hAnsi="Times New Roman"/>
          <w:szCs w:val="28"/>
          <w:lang w:val="es-ES"/>
        </w:rPr>
        <w:t>tình hình hoạt động của Hợp tác xã trên địa bàn</w:t>
      </w:r>
    </w:p>
    <w:p w14:paraId="36DB8A14" w14:textId="3B342B8A" w:rsidR="00B22DEF" w:rsidRPr="00C4431A" w:rsidRDefault="00C4431A" w:rsidP="00C4431A">
      <w:pPr>
        <w:pStyle w:val="kgui"/>
        <w:tabs>
          <w:tab w:val="clear" w:pos="567"/>
          <w:tab w:val="clear" w:pos="2346"/>
          <w:tab w:val="clear" w:pos="9246"/>
        </w:tabs>
        <w:spacing w:before="0" w:after="0"/>
        <w:rPr>
          <w:rFonts w:ascii="Times New Roman" w:hAnsi="Times New Roman"/>
          <w:szCs w:val="28"/>
          <w:lang w:val="es-ES"/>
        </w:rPr>
      </w:pPr>
      <w:r w:rsidRPr="00C4431A">
        <w:rPr>
          <w:rFonts w:ascii="Times New Roman" w:hAnsi="Times New Roman"/>
          <w:szCs w:val="28"/>
          <w:lang w:val="es-ES"/>
        </w:rPr>
        <w:t xml:space="preserve"> tỉnh Kon Tum theo Luật Hợp tác xã năm 2012</w:t>
      </w:r>
    </w:p>
    <w:p w14:paraId="6D7D3891" w14:textId="59B4D494" w:rsidR="00B22DEF" w:rsidRPr="00A46789" w:rsidRDefault="00B22DEF" w:rsidP="00E31542">
      <w:pPr>
        <w:pStyle w:val="kgui"/>
        <w:tabs>
          <w:tab w:val="clear" w:pos="567"/>
          <w:tab w:val="clear" w:pos="2346"/>
          <w:tab w:val="clear" w:pos="9246"/>
        </w:tabs>
        <w:spacing w:before="0" w:after="0"/>
        <w:rPr>
          <w:rFonts w:ascii="Times New Roman" w:hAnsi="Times New Roman"/>
          <w:noProof/>
          <w:color w:val="000000"/>
          <w:szCs w:val="28"/>
          <w:lang w:val="nl-NL"/>
        </w:rPr>
      </w:pPr>
      <w:r>
        <w:rPr>
          <w:noProof/>
        </w:rPr>
        <mc:AlternateContent>
          <mc:Choice Requires="wps">
            <w:drawing>
              <wp:anchor distT="4294967295" distB="4294967295" distL="114300" distR="114300" simplePos="0" relativeHeight="251657216" behindDoc="0" locked="0" layoutInCell="1" allowOverlap="1" wp14:anchorId="18DC25E2" wp14:editId="7E3616F9">
                <wp:simplePos x="0" y="0"/>
                <wp:positionH relativeFrom="margin">
                  <wp:align>center</wp:align>
                </wp:positionH>
                <wp:positionV relativeFrom="paragraph">
                  <wp:posOffset>46743</wp:posOffset>
                </wp:positionV>
                <wp:extent cx="67119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3.7pt" to="52.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">
                <o:lock v:ext="edit" shapetype="f"/>
                <w10:wrap anchorx="margin"/>
              </v:line>
            </w:pict>
          </mc:Fallback>
        </mc:AlternateContent>
      </w:r>
    </w:p>
    <w:p w14:paraId="41833BBC" w14:textId="77777777" w:rsidR="005E1C9E" w:rsidRDefault="005E1C9E" w:rsidP="00BD76E7">
      <w:pPr>
        <w:pStyle w:val="kgui"/>
        <w:tabs>
          <w:tab w:val="clear" w:pos="567"/>
          <w:tab w:val="clear" w:pos="2346"/>
          <w:tab w:val="clear" w:pos="9246"/>
        </w:tabs>
        <w:spacing w:before="0" w:after="60"/>
        <w:ind w:firstLine="567"/>
        <w:jc w:val="both"/>
        <w:rPr>
          <w:rFonts w:ascii="Times New Roman" w:hAnsi="Times New Roman"/>
          <w:b w:val="0"/>
          <w:bCs/>
          <w:szCs w:val="28"/>
          <w:lang w:val="nl-NL"/>
        </w:rPr>
      </w:pPr>
    </w:p>
    <w:p w14:paraId="1F27E99D" w14:textId="588BAD41" w:rsidR="0016067A" w:rsidRPr="00755155" w:rsidRDefault="0016067A" w:rsidP="00BD76E7">
      <w:pPr>
        <w:pStyle w:val="kgui"/>
        <w:tabs>
          <w:tab w:val="clear" w:pos="567"/>
          <w:tab w:val="clear" w:pos="2346"/>
          <w:tab w:val="clear" w:pos="9246"/>
        </w:tabs>
        <w:spacing w:before="0" w:after="60"/>
        <w:ind w:firstLine="567"/>
        <w:jc w:val="both"/>
        <w:rPr>
          <w:rFonts w:ascii="Times New Roman" w:hAnsi="Times New Roman"/>
          <w:b w:val="0"/>
          <w:bCs/>
          <w:szCs w:val="28"/>
          <w:lang w:val="nl-NL"/>
        </w:rPr>
      </w:pPr>
      <w:r w:rsidRPr="00755155">
        <w:rPr>
          <w:rFonts w:ascii="Times New Roman" w:hAnsi="Times New Roman"/>
          <w:b w:val="0"/>
          <w:bCs/>
          <w:szCs w:val="28"/>
          <w:lang w:val="nl-NL"/>
        </w:rPr>
        <w:t xml:space="preserve">Thực hiện </w:t>
      </w:r>
      <w:r w:rsidRPr="00755155">
        <w:rPr>
          <w:rFonts w:ascii="Times New Roman" w:hAnsi="Times New Roman"/>
          <w:b w:val="0"/>
          <w:bCs/>
          <w:szCs w:val="28"/>
          <w:lang w:val="pt-BR"/>
        </w:rPr>
        <w:t xml:space="preserve">Nghị quyết số 29/NQ-TTHĐND ngày 21/12/2021 của Thường trực HĐND tỉnh về chương trình giám sát năm 2022; </w:t>
      </w:r>
      <w:r>
        <w:rPr>
          <w:rFonts w:ascii="Times New Roman" w:hAnsi="Times New Roman"/>
          <w:b w:val="0"/>
          <w:bCs/>
          <w:szCs w:val="28"/>
          <w:lang w:val="pt-BR"/>
        </w:rPr>
        <w:t xml:space="preserve">Đoàn Giám sát </w:t>
      </w:r>
      <w:r w:rsidRPr="00755155">
        <w:rPr>
          <w:rFonts w:ascii="Times New Roman" w:hAnsi="Times New Roman"/>
          <w:b w:val="0"/>
          <w:bCs/>
          <w:szCs w:val="28"/>
          <w:lang w:val="pt-BR"/>
        </w:rPr>
        <w:t xml:space="preserve">Thường trực </w:t>
      </w:r>
      <w:r w:rsidR="00E43997">
        <w:rPr>
          <w:rFonts w:ascii="Times New Roman" w:hAnsi="Times New Roman"/>
          <w:b w:val="0"/>
          <w:bCs/>
          <w:szCs w:val="28"/>
          <w:lang w:val="pt-BR"/>
        </w:rPr>
        <w:t xml:space="preserve">của </w:t>
      </w:r>
      <w:r w:rsidRPr="00755155">
        <w:rPr>
          <w:rFonts w:ascii="Times New Roman" w:hAnsi="Times New Roman"/>
          <w:b w:val="0"/>
          <w:bCs/>
          <w:szCs w:val="28"/>
          <w:lang w:val="pt-BR"/>
        </w:rPr>
        <w:t xml:space="preserve">HĐND tỉnh </w:t>
      </w:r>
      <w:r w:rsidR="00E43997">
        <w:rPr>
          <w:rFonts w:ascii="Times New Roman" w:hAnsi="Times New Roman"/>
          <w:b w:val="0"/>
          <w:bCs/>
          <w:szCs w:val="28"/>
          <w:lang w:val="pt-BR"/>
        </w:rPr>
        <w:t xml:space="preserve">tiến hành giám sát và báo cáo kết quả về </w:t>
      </w:r>
      <w:r w:rsidR="00C4431A" w:rsidRPr="00C4431A">
        <w:rPr>
          <w:rFonts w:ascii="Times New Roman" w:hAnsi="Times New Roman"/>
          <w:b w:val="0"/>
          <w:bCs/>
          <w:szCs w:val="28"/>
          <w:lang w:val="pt-BR"/>
        </w:rPr>
        <w:t xml:space="preserve">tình hình hoạt động của Hợp tác </w:t>
      </w:r>
      <w:r w:rsidR="00C4431A" w:rsidRPr="005E5AA4">
        <w:rPr>
          <w:rFonts w:ascii="Times New Roman" w:hAnsi="Times New Roman"/>
          <w:b w:val="0"/>
          <w:bCs/>
          <w:szCs w:val="28"/>
          <w:lang w:val="pt-BR"/>
        </w:rPr>
        <w:t xml:space="preserve">xã </w:t>
      </w:r>
      <w:r w:rsidR="005E5AA4" w:rsidRPr="005E5AA4">
        <w:rPr>
          <w:rFonts w:ascii="Times New Roman" w:hAnsi="Times New Roman"/>
          <w:b w:val="0"/>
          <w:i/>
          <w:szCs w:val="28"/>
          <w:lang w:val="nl-NL"/>
        </w:rPr>
        <w:t>(HTX)</w:t>
      </w:r>
      <w:r w:rsidR="005E5AA4" w:rsidRPr="005E5AA4">
        <w:rPr>
          <w:rFonts w:ascii="Times New Roman" w:hAnsi="Times New Roman"/>
          <w:i/>
          <w:szCs w:val="28"/>
          <w:lang w:val="nl-NL"/>
        </w:rPr>
        <w:t xml:space="preserve"> </w:t>
      </w:r>
      <w:r w:rsidR="00C4431A" w:rsidRPr="005E5AA4">
        <w:rPr>
          <w:rFonts w:ascii="Times New Roman" w:hAnsi="Times New Roman"/>
          <w:b w:val="0"/>
          <w:bCs/>
          <w:szCs w:val="28"/>
          <w:lang w:val="pt-BR"/>
        </w:rPr>
        <w:t>trên</w:t>
      </w:r>
      <w:r w:rsidR="00C4431A" w:rsidRPr="00C4431A">
        <w:rPr>
          <w:rFonts w:ascii="Times New Roman" w:hAnsi="Times New Roman"/>
          <w:b w:val="0"/>
          <w:bCs/>
          <w:szCs w:val="28"/>
          <w:lang w:val="pt-BR"/>
        </w:rPr>
        <w:t xml:space="preserve"> địa bàn tỉnh Kon Tum theo Luật Hợp tác xã năm 2012</w:t>
      </w:r>
      <w:r w:rsidR="007156B5" w:rsidRPr="00C4431A">
        <w:rPr>
          <w:rFonts w:ascii="Times New Roman" w:hAnsi="Times New Roman"/>
          <w:b w:val="0"/>
          <w:bCs/>
          <w:szCs w:val="28"/>
          <w:lang w:val="pt-BR"/>
        </w:rPr>
        <w:t>.</w:t>
      </w:r>
      <w:r w:rsidR="007156B5">
        <w:rPr>
          <w:rFonts w:ascii="Times New Roman" w:hAnsi="Times New Roman"/>
          <w:b w:val="0"/>
          <w:bCs/>
          <w:szCs w:val="28"/>
          <w:lang w:val="nl-NL" w:eastAsia="fr-FR"/>
        </w:rPr>
        <w:t xml:space="preserve"> Cụ thể</w:t>
      </w:r>
      <w:r w:rsidRPr="00755155">
        <w:rPr>
          <w:rFonts w:ascii="Times New Roman" w:hAnsi="Times New Roman"/>
          <w:b w:val="0"/>
          <w:bCs/>
          <w:iCs/>
          <w:szCs w:val="28"/>
          <w:lang w:val="nl-NL"/>
        </w:rPr>
        <w:t xml:space="preserve"> như sau</w:t>
      </w:r>
      <w:r w:rsidR="00DB18ED" w:rsidRPr="000512D4">
        <w:rPr>
          <w:rFonts w:ascii="Times New Roman" w:hAnsi="Times New Roman"/>
          <w:b w:val="0"/>
          <w:bCs/>
          <w:iCs/>
          <w:szCs w:val="28"/>
          <w:vertAlign w:val="superscript"/>
          <w:lang w:val="nl-NL"/>
        </w:rPr>
        <w:t>(</w:t>
      </w:r>
      <w:r w:rsidR="00E43997" w:rsidRPr="000512D4">
        <w:rPr>
          <w:rStyle w:val="FootnoteReference"/>
          <w:rFonts w:ascii="Times New Roman" w:hAnsi="Times New Roman"/>
          <w:b w:val="0"/>
          <w:bCs/>
          <w:iCs/>
          <w:szCs w:val="28"/>
          <w:lang w:val="nl-NL"/>
        </w:rPr>
        <w:footnoteReference w:id="1"/>
      </w:r>
      <w:r w:rsidR="00DB18ED" w:rsidRPr="000512D4">
        <w:rPr>
          <w:rFonts w:ascii="Times New Roman" w:hAnsi="Times New Roman"/>
          <w:b w:val="0"/>
          <w:bCs/>
          <w:iCs/>
          <w:szCs w:val="28"/>
          <w:vertAlign w:val="superscript"/>
          <w:lang w:val="nl-NL"/>
        </w:rPr>
        <w:t>)</w:t>
      </w:r>
      <w:r w:rsidRPr="00755155">
        <w:rPr>
          <w:rFonts w:ascii="Times New Roman" w:hAnsi="Times New Roman"/>
          <w:b w:val="0"/>
          <w:bCs/>
          <w:iCs/>
          <w:szCs w:val="28"/>
          <w:lang w:val="nl-NL"/>
        </w:rPr>
        <w:t>:</w:t>
      </w:r>
    </w:p>
    <w:p w14:paraId="678B557F" w14:textId="2B1DF2C9" w:rsidR="00E23BB2" w:rsidRPr="005868D4" w:rsidRDefault="0055699E" w:rsidP="00BD76E7">
      <w:pPr>
        <w:spacing w:after="60"/>
        <w:ind w:firstLine="567"/>
        <w:rPr>
          <w:b/>
          <w:bCs/>
          <w:lang w:val="nl-NL"/>
        </w:rPr>
      </w:pPr>
      <w:r w:rsidRPr="005868D4">
        <w:rPr>
          <w:b/>
          <w:bCs/>
          <w:lang w:val="nl-NL"/>
        </w:rPr>
        <w:t xml:space="preserve">I. </w:t>
      </w:r>
      <w:r w:rsidR="00E43997" w:rsidRPr="00B62C40">
        <w:rPr>
          <w:b/>
          <w:lang w:val="nl-NL"/>
        </w:rPr>
        <w:t>KẾT QUẢ THỰC HIỆN</w:t>
      </w:r>
    </w:p>
    <w:p w14:paraId="56042F9F" w14:textId="09DAE731" w:rsidR="00DB18ED" w:rsidRPr="005868D4" w:rsidRDefault="00DB18ED" w:rsidP="00BD76E7">
      <w:pPr>
        <w:spacing w:after="60"/>
        <w:ind w:firstLine="567"/>
        <w:rPr>
          <w:b/>
          <w:bCs/>
          <w:lang w:val="nl-NL"/>
        </w:rPr>
      </w:pPr>
      <w:r>
        <w:rPr>
          <w:b/>
          <w:bCs/>
          <w:lang w:val="nl-NL"/>
        </w:rPr>
        <w:t>1</w:t>
      </w:r>
      <w:r w:rsidRPr="005868D4">
        <w:rPr>
          <w:b/>
          <w:bCs/>
          <w:lang w:val="nl-NL"/>
        </w:rPr>
        <w:t xml:space="preserve">. </w:t>
      </w:r>
      <w:r>
        <w:rPr>
          <w:b/>
          <w:bCs/>
          <w:lang w:val="nl-NL"/>
        </w:rPr>
        <w:t>Công tác chỉ đạo, điều hành</w:t>
      </w:r>
    </w:p>
    <w:p w14:paraId="6764294F" w14:textId="4781DD85" w:rsidR="005E5AA4" w:rsidRPr="005E5AA4" w:rsidRDefault="00DB18ED" w:rsidP="00BD76E7">
      <w:pPr>
        <w:spacing w:after="60"/>
        <w:ind w:firstLine="567"/>
        <w:rPr>
          <w:lang w:val="nl-NL"/>
        </w:rPr>
      </w:pPr>
      <w:r>
        <w:rPr>
          <w:lang w:val="pt-BR"/>
        </w:rPr>
        <w:t xml:space="preserve">- </w:t>
      </w:r>
      <w:r w:rsidR="00C830F0">
        <w:rPr>
          <w:lang w:val="nl-NL"/>
        </w:rPr>
        <w:t>UBND tỉnh đã</w:t>
      </w:r>
      <w:r w:rsidR="005E5AA4" w:rsidRPr="005E5AA4">
        <w:rPr>
          <w:lang w:val="nl-NL"/>
        </w:rPr>
        <w:t xml:space="preserve"> chỉ đạo các sở, ban ngành, địa phương xây dựng kế hoạch, chính sách phát triển, hỗ trợ </w:t>
      </w:r>
      <w:r w:rsidR="00C572F6">
        <w:rPr>
          <w:lang w:val="nl-NL"/>
        </w:rPr>
        <w:t>HTX</w:t>
      </w:r>
      <w:r w:rsidR="005E5AA4" w:rsidRPr="005E5AA4">
        <w:rPr>
          <w:lang w:val="nl-NL"/>
        </w:rPr>
        <w:t xml:space="preserve"> trên địa bàn tỉnh</w:t>
      </w:r>
      <w:r w:rsidR="005E5AA4" w:rsidRPr="005E5AA4">
        <w:rPr>
          <w:vertAlign w:val="superscript"/>
          <w:lang w:val="nl-NL"/>
        </w:rPr>
        <w:t>(</w:t>
      </w:r>
      <w:r w:rsidR="005E5AA4" w:rsidRPr="00D74DE1">
        <w:rPr>
          <w:rStyle w:val="FootnoteReference"/>
        </w:rPr>
        <w:footnoteReference w:id="2"/>
      </w:r>
      <w:r w:rsidR="005E5AA4" w:rsidRPr="005E5AA4">
        <w:rPr>
          <w:vertAlign w:val="superscript"/>
          <w:lang w:val="nl-NL"/>
        </w:rPr>
        <w:t>)</w:t>
      </w:r>
      <w:r w:rsidR="005E5AA4" w:rsidRPr="005E5AA4">
        <w:rPr>
          <w:lang w:val="nl-NL"/>
        </w:rPr>
        <w:t xml:space="preserve">, đồng thời </w:t>
      </w:r>
      <w:r w:rsidR="005E5AA4">
        <w:rPr>
          <w:lang w:val="nl-NL"/>
        </w:rPr>
        <w:t xml:space="preserve">cấp tỉnh và cấp huyện đã </w:t>
      </w:r>
      <w:r w:rsidR="005E5AA4" w:rsidRPr="005E5AA4">
        <w:rPr>
          <w:lang w:val="nl-NL"/>
        </w:rPr>
        <w:t xml:space="preserve">thành lập Ban Chỉ đạo phát triển kinh tế tập thể </w:t>
      </w:r>
      <w:r w:rsidR="005E5AA4" w:rsidRPr="005E5AA4">
        <w:rPr>
          <w:i/>
          <w:lang w:val="nl-NL"/>
        </w:rPr>
        <w:t>(KTT</w:t>
      </w:r>
      <w:r w:rsidR="00906A14">
        <w:rPr>
          <w:i/>
          <w:lang w:val="nl-NL"/>
        </w:rPr>
        <w:t>T</w:t>
      </w:r>
      <w:r w:rsidR="005E5AA4" w:rsidRPr="005E5AA4">
        <w:rPr>
          <w:i/>
          <w:lang w:val="nl-NL"/>
        </w:rPr>
        <w:t>)</w:t>
      </w:r>
      <w:r w:rsidR="005E5AA4" w:rsidRPr="005E5AA4">
        <w:rPr>
          <w:lang w:val="nl-NL"/>
        </w:rPr>
        <w:t xml:space="preserve"> nhằm tăng cường công tác quản lý nhà nước và hỗ trợ phát triển KTTT, HTX trên địa bàn; </w:t>
      </w:r>
      <w:r w:rsidR="005E5AA4">
        <w:rPr>
          <w:lang w:val="nl-NL"/>
        </w:rPr>
        <w:t xml:space="preserve">đã thành lập </w:t>
      </w:r>
      <w:r w:rsidR="005E5AA4" w:rsidRPr="005E5AA4">
        <w:rPr>
          <w:lang w:val="nl-NL"/>
        </w:rPr>
        <w:t>Quỹ hỗ trợ phát triển HTX tỉnh Kon Tum.</w:t>
      </w:r>
    </w:p>
    <w:p w14:paraId="598662BA" w14:textId="78A24FCA" w:rsidR="005E5AA4" w:rsidRPr="00C830F0" w:rsidRDefault="00C830F0" w:rsidP="00BD76E7">
      <w:pPr>
        <w:spacing w:after="60"/>
        <w:ind w:firstLine="567"/>
        <w:rPr>
          <w:lang w:val="nl-NL"/>
        </w:rPr>
      </w:pPr>
      <w:r>
        <w:rPr>
          <w:lang w:val="pt-BR"/>
        </w:rPr>
        <w:t xml:space="preserve">- </w:t>
      </w:r>
      <w:r>
        <w:rPr>
          <w:lang w:val="nl-NL"/>
        </w:rPr>
        <w:t xml:space="preserve">UBND tỉnh đã ban hành nhiều văn bản để triển khai </w:t>
      </w:r>
      <w:r w:rsidRPr="00C830F0">
        <w:rPr>
          <w:rFonts w:eastAsia=".VnTime"/>
          <w:bCs/>
          <w:lang w:val="nl-NL" w:eastAsia="ar-SA"/>
        </w:rPr>
        <w:t>thực hiện Luật HTX năm 2012 và các văn bản có liên quan</w:t>
      </w:r>
      <w:r>
        <w:rPr>
          <w:rFonts w:eastAsia=".VnTime"/>
          <w:bCs/>
          <w:lang w:val="nl-NL" w:eastAsia="ar-SA"/>
        </w:rPr>
        <w:t xml:space="preserve"> </w:t>
      </w:r>
      <w:r w:rsidRPr="00C830F0">
        <w:rPr>
          <w:rFonts w:eastAsia=".VnTime"/>
          <w:bCs/>
          <w:i/>
          <w:lang w:val="nl-NL" w:eastAsia="ar-SA"/>
        </w:rPr>
        <w:t>(phụ lục số 01 kèm theo)</w:t>
      </w:r>
      <w:r>
        <w:rPr>
          <w:rFonts w:eastAsia=".VnTime"/>
          <w:bCs/>
          <w:lang w:val="nl-NL" w:eastAsia="ar-SA"/>
        </w:rPr>
        <w:t xml:space="preserve">, đồng thời, </w:t>
      </w:r>
      <w:r w:rsidRPr="00C830F0">
        <w:rPr>
          <w:lang w:val="nl-NL"/>
        </w:rPr>
        <w:t xml:space="preserve">đã tổ chức </w:t>
      </w:r>
      <w:r>
        <w:rPr>
          <w:lang w:val="nl-NL"/>
        </w:rPr>
        <w:t>các</w:t>
      </w:r>
      <w:r w:rsidRPr="00C830F0">
        <w:rPr>
          <w:lang w:val="nl-NL"/>
        </w:rPr>
        <w:t xml:space="preserve"> buổi làm việc trực tiếp với các sở, ban ngành, địa phương, tổ chức đi thăm, làm việc với một số HTX để nắm bắt tình hình hoạt động, kịp thời tháo gỡ các khó khăn, vướng mắc nhằm giúp các HTX hoạt động ổn định và phát triển sản xuất, kinh doanh.</w:t>
      </w:r>
    </w:p>
    <w:p w14:paraId="05DBF8F7" w14:textId="4FFA7C99" w:rsidR="00C830F0" w:rsidRDefault="00931E40" w:rsidP="00BD76E7">
      <w:pPr>
        <w:spacing w:after="60"/>
        <w:ind w:firstLine="567"/>
        <w:rPr>
          <w:lang w:val="nl-NL"/>
        </w:rPr>
      </w:pPr>
      <w:r>
        <w:rPr>
          <w:b/>
          <w:bCs/>
          <w:lang w:val="nl-NL"/>
        </w:rPr>
        <w:t xml:space="preserve">- </w:t>
      </w:r>
      <w:r w:rsidRPr="00931E40">
        <w:rPr>
          <w:bCs/>
          <w:lang w:val="nl-NL"/>
        </w:rPr>
        <w:t>UBND tỉnh</w:t>
      </w:r>
      <w:r>
        <w:rPr>
          <w:b/>
          <w:bCs/>
          <w:lang w:val="nl-NL"/>
        </w:rPr>
        <w:t xml:space="preserve"> </w:t>
      </w:r>
      <w:r>
        <w:rPr>
          <w:lang w:val="nl-NL"/>
        </w:rPr>
        <w:t xml:space="preserve">giao </w:t>
      </w:r>
      <w:r w:rsidRPr="00931E40">
        <w:rPr>
          <w:lang w:val="nl-NL"/>
        </w:rPr>
        <w:t xml:space="preserve">Sở Kế hoạch và Đầu tư là cơ quan chuyên môn tham mưu cho </w:t>
      </w:r>
      <w:r w:rsidR="00623545">
        <w:rPr>
          <w:lang w:val="nl-NL"/>
        </w:rPr>
        <w:t xml:space="preserve">UBND tỉnh </w:t>
      </w:r>
      <w:r w:rsidRPr="00931E40">
        <w:rPr>
          <w:lang w:val="nl-NL"/>
        </w:rPr>
        <w:t>thực hiện chức năng quản lý nhà nước về KTTT, HTX trên địa bàn tỉnh; Sở Nông nghiệp và Nông thôn tham mưu thực hiện chức năng quản lý nhà nước về KTTT trong lĩnh vực nông nghiệ</w:t>
      </w:r>
      <w:r>
        <w:rPr>
          <w:lang w:val="nl-NL"/>
        </w:rPr>
        <w:t xml:space="preserve">p. </w:t>
      </w:r>
      <w:r w:rsidRPr="00931E40">
        <w:rPr>
          <w:lang w:val="nl-NL"/>
        </w:rPr>
        <w:t xml:space="preserve">Đối với cấp huyện, Phòng Tài chính - Kế hoạch cấp huyện là cơ quan chuyên môn tham mưu cho </w:t>
      </w:r>
      <w:r w:rsidR="00E90DCB">
        <w:rPr>
          <w:lang w:val="nl-NL"/>
        </w:rPr>
        <w:t>UBND</w:t>
      </w:r>
      <w:r w:rsidRPr="00931E40">
        <w:rPr>
          <w:lang w:val="nl-NL"/>
        </w:rPr>
        <w:t xml:space="preserve"> cấp huyện thực hiện chức năng quản lý nhà nước về KTTT.</w:t>
      </w:r>
    </w:p>
    <w:p w14:paraId="7D029975" w14:textId="0287F2EB" w:rsidR="00931E40" w:rsidRDefault="007562C5" w:rsidP="00BD76E7">
      <w:pPr>
        <w:spacing w:after="60"/>
        <w:ind w:firstLine="567"/>
        <w:rPr>
          <w:bCs/>
          <w:i/>
          <w:lang w:val="nl-NL"/>
        </w:rPr>
      </w:pPr>
      <w:r>
        <w:rPr>
          <w:b/>
          <w:bCs/>
          <w:lang w:val="nl-NL"/>
        </w:rPr>
        <w:lastRenderedPageBreak/>
        <w:t xml:space="preserve">2. </w:t>
      </w:r>
      <w:r w:rsidRPr="00992E3B">
        <w:rPr>
          <w:b/>
          <w:bCs/>
          <w:lang w:val="nl-NL"/>
        </w:rPr>
        <w:t>Kết quả thực hiện các chủ trương, chính sách hỗ trợ, ưu đãi của Nhà nước</w:t>
      </w:r>
      <w:r>
        <w:rPr>
          <w:b/>
          <w:bCs/>
          <w:lang w:val="nl-NL"/>
        </w:rPr>
        <w:t xml:space="preserve"> </w:t>
      </w:r>
    </w:p>
    <w:p w14:paraId="6DC88C3C" w14:textId="07CD7AEC" w:rsidR="007562C5" w:rsidRPr="007562C5" w:rsidRDefault="007562C5" w:rsidP="00BD76E7">
      <w:pPr>
        <w:spacing w:after="60"/>
        <w:ind w:firstLine="567"/>
        <w:rPr>
          <w:b/>
          <w:bCs/>
          <w:lang w:val="nl-NL"/>
        </w:rPr>
      </w:pPr>
      <w:r>
        <w:rPr>
          <w:rFonts w:eastAsia=".VnTime"/>
          <w:b/>
          <w:bCs/>
          <w:lang w:val="nl-NL" w:eastAsia="ar-SA"/>
        </w:rPr>
        <w:t>2</w:t>
      </w:r>
      <w:r w:rsidRPr="007562C5">
        <w:rPr>
          <w:rFonts w:eastAsia=".VnTime"/>
          <w:b/>
          <w:bCs/>
          <w:lang w:val="nl-NL" w:eastAsia="ar-SA"/>
        </w:rPr>
        <w:t xml:space="preserve">.1. </w:t>
      </w:r>
      <w:r w:rsidRPr="007562C5">
        <w:rPr>
          <w:b/>
          <w:bCs/>
          <w:lang w:val="nl-NL"/>
        </w:rPr>
        <w:t>Chính sách hỗ trợ chung đối với các HTX</w:t>
      </w:r>
    </w:p>
    <w:p w14:paraId="62EAC384" w14:textId="659EA010" w:rsidR="00C830F0" w:rsidRPr="007562C5" w:rsidRDefault="007562C5" w:rsidP="00BD76E7">
      <w:pPr>
        <w:spacing w:after="60"/>
        <w:ind w:firstLine="567"/>
        <w:rPr>
          <w:b/>
          <w:bCs/>
          <w:lang w:val="nl-NL"/>
        </w:rPr>
      </w:pPr>
      <w:r w:rsidRPr="00E033B2">
        <w:rPr>
          <w:bCs/>
          <w:lang w:val="nl-NL"/>
        </w:rPr>
        <w:t>-</w:t>
      </w:r>
      <w:r w:rsidRPr="00E033B2">
        <w:rPr>
          <w:rFonts w:eastAsia=".VnTime"/>
          <w:bCs/>
          <w:lang w:val="nl-NL" w:eastAsia="ar-SA"/>
        </w:rPr>
        <w:t xml:space="preserve"> Chính sách đào tạo, bồi dưỡng nguồn nhân lực:</w:t>
      </w:r>
      <w:r w:rsidR="00E033B2" w:rsidRPr="00E033B2">
        <w:rPr>
          <w:rFonts w:eastAsia=".VnTime"/>
          <w:bCs/>
          <w:lang w:val="nl-NL" w:eastAsia="ar-SA"/>
        </w:rPr>
        <w:t xml:space="preserve"> </w:t>
      </w:r>
      <w:r w:rsidRPr="007562C5">
        <w:rPr>
          <w:lang w:val="nl-NL"/>
        </w:rPr>
        <w:t xml:space="preserve">Đã tổ chức mở các lớp đào tạo, tập huấn bồi dưỡng nghiệp vụ, nghề cho đối tượng là cán bộ và thành viên của các HTX, tổ hợp tác </w:t>
      </w:r>
      <w:r w:rsidRPr="007562C5">
        <w:rPr>
          <w:i/>
          <w:lang w:val="nl-NL"/>
        </w:rPr>
        <w:t>(THT)</w:t>
      </w:r>
      <w:r w:rsidRPr="007562C5">
        <w:rPr>
          <w:lang w:val="nl-NL"/>
        </w:rPr>
        <w:t xml:space="preserve"> trên địa bàn huyện, thành phố; tổ chức bồi dưỡng nghiệp vụ cho cán bộ quản lý HTX về Luật HTX năm 2012 và các văn bản hướng dẫn thi hành</w:t>
      </w:r>
      <w:r w:rsidRPr="007562C5">
        <w:rPr>
          <w:spacing w:val="-4"/>
          <w:vertAlign w:val="superscript"/>
          <w:lang w:val="nl-NL"/>
        </w:rPr>
        <w:t>(</w:t>
      </w:r>
      <w:r w:rsidRPr="00D74DE1">
        <w:rPr>
          <w:rStyle w:val="FootnoteReference"/>
          <w:spacing w:val="-4"/>
        </w:rPr>
        <w:footnoteReference w:id="3"/>
      </w:r>
      <w:r w:rsidRPr="007562C5">
        <w:rPr>
          <w:spacing w:val="-4"/>
          <w:vertAlign w:val="superscript"/>
          <w:lang w:val="nl-NL"/>
        </w:rPr>
        <w:t>)</w:t>
      </w:r>
      <w:r w:rsidRPr="007562C5">
        <w:rPr>
          <w:spacing w:val="-4"/>
          <w:lang w:val="nl-NL"/>
        </w:rPr>
        <w:t>.</w:t>
      </w:r>
    </w:p>
    <w:p w14:paraId="635B8A19" w14:textId="7F67D726" w:rsidR="00C830F0" w:rsidRDefault="007562C5" w:rsidP="00BD76E7">
      <w:pPr>
        <w:spacing w:after="60"/>
        <w:ind w:firstLine="567"/>
        <w:rPr>
          <w:rFonts w:eastAsia=".VnTime"/>
          <w:bCs/>
          <w:lang w:val="nl-NL" w:eastAsia="ar-SA"/>
        </w:rPr>
      </w:pPr>
      <w:r w:rsidRPr="007562C5">
        <w:rPr>
          <w:rFonts w:eastAsia=".VnTime"/>
          <w:bCs/>
          <w:lang w:val="nl-NL" w:eastAsia="ar-SA"/>
        </w:rPr>
        <w:t>- Chính sách xúc tiến thương mại, mở rộng thị trường:</w:t>
      </w:r>
    </w:p>
    <w:p w14:paraId="4DB5C2E4" w14:textId="563A49FD" w:rsidR="007562C5" w:rsidRPr="008442FC" w:rsidRDefault="008442FC" w:rsidP="00BD76E7">
      <w:pPr>
        <w:spacing w:after="60"/>
        <w:ind w:firstLine="567"/>
        <w:rPr>
          <w:b/>
          <w:bCs/>
          <w:lang w:val="nl-NL"/>
        </w:rPr>
      </w:pPr>
      <w:r>
        <w:rPr>
          <w:lang w:val="nl-NL"/>
        </w:rPr>
        <w:t>+ Đ</w:t>
      </w:r>
      <w:r w:rsidRPr="008442FC">
        <w:rPr>
          <w:lang w:val="nl-NL"/>
        </w:rPr>
        <w:t>ã khai trương 02 điểm giới thiệu và bán các sản phẩm OCOP trên địa bàn thành phố Kon Tum</w:t>
      </w:r>
      <w:r w:rsidRPr="008442FC">
        <w:rPr>
          <w:vertAlign w:val="superscript"/>
          <w:lang w:val="nl-NL"/>
        </w:rPr>
        <w:t>(</w:t>
      </w:r>
      <w:r w:rsidRPr="00D74DE1">
        <w:rPr>
          <w:rStyle w:val="FootnoteReference"/>
        </w:rPr>
        <w:footnoteReference w:id="4"/>
      </w:r>
      <w:r w:rsidRPr="008442FC">
        <w:rPr>
          <w:vertAlign w:val="superscript"/>
          <w:lang w:val="nl-NL"/>
        </w:rPr>
        <w:t>)</w:t>
      </w:r>
      <w:r w:rsidRPr="008442FC">
        <w:rPr>
          <w:lang w:val="nl-NL"/>
        </w:rPr>
        <w:t>;</w:t>
      </w:r>
      <w:r>
        <w:rPr>
          <w:lang w:val="nl-NL"/>
        </w:rPr>
        <w:t xml:space="preserve"> </w:t>
      </w:r>
      <w:r w:rsidRPr="008442FC">
        <w:rPr>
          <w:lang w:val="nl-NL"/>
        </w:rPr>
        <w:t>kết nối đưa các sản phẩm đạt chuẩn OCOP vào các điểm bán hàng OCOP trên địa bàn thành phố Kon Tum và một số tỉnh bạn như: Thành phố Hà Nội, thành phố Đà Nẵng, thành phố Hồ Chí Minh…</w:t>
      </w:r>
    </w:p>
    <w:p w14:paraId="7C353432" w14:textId="4D37B98A" w:rsidR="007562C5" w:rsidRDefault="008442FC" w:rsidP="00BD76E7">
      <w:pPr>
        <w:widowControl w:val="0"/>
        <w:spacing w:after="60"/>
        <w:ind w:firstLine="567"/>
        <w:rPr>
          <w:lang w:val="nl-NL"/>
        </w:rPr>
      </w:pPr>
      <w:r w:rsidRPr="008442FC">
        <w:rPr>
          <w:iCs/>
          <w:lang w:val="nl-NL"/>
        </w:rPr>
        <w:t xml:space="preserve">+ </w:t>
      </w:r>
      <w:r>
        <w:rPr>
          <w:iCs/>
          <w:lang w:val="nl-NL"/>
        </w:rPr>
        <w:t>H</w:t>
      </w:r>
      <w:r w:rsidRPr="008442FC">
        <w:rPr>
          <w:lang w:val="nl-NL"/>
        </w:rPr>
        <w:t>ỗ trợ xây dựng thương hiệu cho 11 HTX</w:t>
      </w:r>
      <w:r w:rsidR="00135F92">
        <w:rPr>
          <w:rStyle w:val="FootnoteReference"/>
          <w:lang w:val="nl-NL"/>
        </w:rPr>
        <w:footnoteReference w:id="5"/>
      </w:r>
      <w:r w:rsidRPr="008442FC">
        <w:rPr>
          <w:lang w:val="nl-NL"/>
        </w:rPr>
        <w:t xml:space="preserve"> với tổng kinh phí 238 triệu đồng; hỗ trợ xây dựng trang website Thương mại điện tử cho 0</w:t>
      </w:r>
      <w:r w:rsidR="00135F92">
        <w:rPr>
          <w:lang w:val="nl-NL"/>
        </w:rPr>
        <w:t>4</w:t>
      </w:r>
      <w:r w:rsidRPr="008442FC">
        <w:rPr>
          <w:lang w:val="nl-NL"/>
        </w:rPr>
        <w:t xml:space="preserve"> HTX</w:t>
      </w:r>
      <w:r w:rsidR="00135F92">
        <w:rPr>
          <w:rStyle w:val="FootnoteReference"/>
          <w:lang w:val="nl-NL"/>
        </w:rPr>
        <w:footnoteReference w:id="6"/>
      </w:r>
      <w:r w:rsidRPr="008442FC">
        <w:rPr>
          <w:lang w:val="nl-NL"/>
        </w:rPr>
        <w:t xml:space="preserve"> </w:t>
      </w:r>
      <w:r w:rsidR="00135F92" w:rsidRPr="002F61A4">
        <w:rPr>
          <w:color w:val="000000"/>
          <w:spacing w:val="-2"/>
          <w:lang w:val="sv-SE"/>
        </w:rPr>
        <w:t>với tổng kinh phí 59,3 triệu đồng</w:t>
      </w:r>
      <w:r w:rsidR="00135F92" w:rsidRPr="008442FC">
        <w:rPr>
          <w:lang w:val="nl-NL"/>
        </w:rPr>
        <w:t xml:space="preserve"> </w:t>
      </w:r>
      <w:r w:rsidRPr="008442FC">
        <w:rPr>
          <w:lang w:val="nl-NL"/>
        </w:rPr>
        <w:t>từ nguồn ngân sách thuộc Chương trình phát triển thương mại điện tử</w:t>
      </w:r>
      <w:r w:rsidR="00135F92">
        <w:rPr>
          <w:lang w:val="nl-NL"/>
        </w:rPr>
        <w:t xml:space="preserve"> </w:t>
      </w:r>
      <w:r w:rsidR="00135F92" w:rsidRPr="00135F92">
        <w:rPr>
          <w:i/>
          <w:color w:val="000000"/>
          <w:spacing w:val="-2"/>
          <w:lang w:val="sv-SE"/>
        </w:rPr>
        <w:t>(ngân sách trung ương 45 triệu, ngân sách địa phương 14,3 triệu đồng)</w:t>
      </w:r>
      <w:r w:rsidRPr="008442FC">
        <w:rPr>
          <w:lang w:val="nl-NL"/>
        </w:rPr>
        <w:t>. Định kỳ 02 năm/01 lần tổ chức bình chọn công nhận sản phẩm công nghiệp nông thôn tiêu biểu cấp tỉnh</w:t>
      </w:r>
      <w:r>
        <w:rPr>
          <w:rStyle w:val="FootnoteReference"/>
          <w:lang w:val="nl-NL"/>
        </w:rPr>
        <w:footnoteReference w:id="7"/>
      </w:r>
      <w:r>
        <w:rPr>
          <w:lang w:val="nl-NL"/>
        </w:rPr>
        <w:t>.</w:t>
      </w:r>
    </w:p>
    <w:p w14:paraId="202052C9" w14:textId="120410F5" w:rsidR="007562C5" w:rsidRPr="0043102D" w:rsidRDefault="0043102D" w:rsidP="00BD76E7">
      <w:pPr>
        <w:widowControl w:val="0"/>
        <w:spacing w:after="60"/>
        <w:ind w:firstLine="567"/>
        <w:rPr>
          <w:b/>
          <w:i/>
          <w:iCs/>
          <w:lang w:val="nl-NL"/>
        </w:rPr>
      </w:pPr>
      <w:r>
        <w:rPr>
          <w:lang w:val="nl-NL"/>
        </w:rPr>
        <w:t xml:space="preserve">- </w:t>
      </w:r>
      <w:r w:rsidRPr="0043102D">
        <w:rPr>
          <w:rFonts w:eastAsia=".VnTime"/>
          <w:bCs/>
          <w:lang w:val="nl-NL" w:eastAsia="ar-SA"/>
        </w:rPr>
        <w:t>Chính sách tiếp cận vốn và quỹ hỗ trợ phát triển HTX:</w:t>
      </w:r>
      <w:r w:rsidR="00E033B2">
        <w:rPr>
          <w:rFonts w:eastAsia=".VnTime"/>
          <w:bCs/>
          <w:lang w:val="nl-NL" w:eastAsia="ar-SA"/>
        </w:rPr>
        <w:t xml:space="preserve"> </w:t>
      </w:r>
      <w:r>
        <w:rPr>
          <w:iCs/>
          <w:lang w:val="nl-NL"/>
        </w:rPr>
        <w:t>H</w:t>
      </w:r>
      <w:r w:rsidRPr="0043102D">
        <w:rPr>
          <w:iCs/>
          <w:lang w:val="nl-NL"/>
        </w:rPr>
        <w:t>ướng dẫn, tạo điều kiện cho các HTX vay vốn ưu đãi từ Quỹ hỗ trợ phát triển HTX tỉnh với số tiền trên 05 tỷ đồng</w:t>
      </w:r>
      <w:r>
        <w:rPr>
          <w:rStyle w:val="FootnoteReference"/>
          <w:iCs/>
          <w:lang w:val="nl-NL"/>
        </w:rPr>
        <w:footnoteReference w:id="8"/>
      </w:r>
      <w:r w:rsidRPr="0043102D">
        <w:rPr>
          <w:iCs/>
          <w:lang w:val="nl-NL"/>
        </w:rPr>
        <w:t xml:space="preserve"> và luân phiên cho các HTX vay vốn giải quyết việc làm kênh Liên minh HTX Việt Nam giao Liên minh HTX quản lý với số tiền 331 triệu đồng để mở rộng sản xuất - kinh doanh, tạo việc làm cho thành viên HTX</w:t>
      </w:r>
      <w:r w:rsidRPr="0043102D">
        <w:rPr>
          <w:lang w:val="nl-NL"/>
        </w:rPr>
        <w:t>.</w:t>
      </w:r>
    </w:p>
    <w:p w14:paraId="426B657E" w14:textId="7ACB4423" w:rsidR="00E033B2" w:rsidRPr="00E033B2" w:rsidRDefault="00E033B2" w:rsidP="00BD76E7">
      <w:pPr>
        <w:spacing w:after="60"/>
        <w:ind w:firstLine="567"/>
        <w:rPr>
          <w:b/>
          <w:bCs/>
          <w:lang w:val="nl-NL"/>
        </w:rPr>
      </w:pPr>
      <w:r>
        <w:rPr>
          <w:rFonts w:eastAsia=".VnTime"/>
          <w:b/>
          <w:bCs/>
          <w:lang w:val="nl-NL" w:eastAsia="ar-SA"/>
        </w:rPr>
        <w:t>2</w:t>
      </w:r>
      <w:r w:rsidRPr="00E033B2">
        <w:rPr>
          <w:rFonts w:eastAsia=".VnTime"/>
          <w:b/>
          <w:bCs/>
          <w:lang w:val="nl-NL" w:eastAsia="ar-SA"/>
        </w:rPr>
        <w:t xml:space="preserve">.2. </w:t>
      </w:r>
      <w:r w:rsidRPr="00E033B2">
        <w:rPr>
          <w:b/>
          <w:bCs/>
          <w:lang w:val="nl-NL"/>
        </w:rPr>
        <w:t>Chính sách hỗ trợ, ưu đãi đối với HTX nông nghiệp</w:t>
      </w:r>
    </w:p>
    <w:p w14:paraId="13B74AFF" w14:textId="36FFE7F4" w:rsidR="00E033B2" w:rsidRDefault="00E033B2" w:rsidP="00BD76E7">
      <w:pPr>
        <w:spacing w:after="60"/>
        <w:ind w:firstLine="567"/>
        <w:rPr>
          <w:lang w:val="nl-NL"/>
        </w:rPr>
      </w:pPr>
      <w:r w:rsidRPr="00E033B2">
        <w:rPr>
          <w:rFonts w:eastAsia=".VnTime"/>
          <w:bCs/>
          <w:lang w:val="nl-NL" w:eastAsia="ar-SA"/>
        </w:rPr>
        <w:lastRenderedPageBreak/>
        <w:t xml:space="preserve">- Chính sách đầu tư phát triển kết cấu hạ tầng: </w:t>
      </w:r>
      <w:r>
        <w:rPr>
          <w:lang w:val="nl-NL"/>
        </w:rPr>
        <w:t>Đ</w:t>
      </w:r>
      <w:r w:rsidRPr="00E033B2">
        <w:rPr>
          <w:lang w:val="nl-NL"/>
        </w:rPr>
        <w:t xml:space="preserve">ã phân bổ 5.680 triệu đồng cho </w:t>
      </w:r>
      <w:r w:rsidR="00E90DCB">
        <w:rPr>
          <w:lang w:val="nl-NL"/>
        </w:rPr>
        <w:t>UBND</w:t>
      </w:r>
      <w:r w:rsidRPr="00E033B2">
        <w:rPr>
          <w:lang w:val="nl-NL"/>
        </w:rPr>
        <w:t xml:space="preserve"> các huyện, thành phố để hỗ trợ cho </w:t>
      </w:r>
      <w:r w:rsidR="000A220E">
        <w:rPr>
          <w:lang w:val="nl-NL"/>
        </w:rPr>
        <w:t>1</w:t>
      </w:r>
      <w:r w:rsidR="00672503">
        <w:rPr>
          <w:lang w:val="nl-NL"/>
        </w:rPr>
        <w:t>0</w:t>
      </w:r>
      <w:r w:rsidR="000A220E">
        <w:rPr>
          <w:lang w:val="nl-NL"/>
        </w:rPr>
        <w:t xml:space="preserve"> </w:t>
      </w:r>
      <w:r w:rsidRPr="00E033B2">
        <w:rPr>
          <w:lang w:val="nl-NL"/>
        </w:rPr>
        <w:t>HTX</w:t>
      </w:r>
      <w:r w:rsidRPr="00E033B2">
        <w:rPr>
          <w:vertAlign w:val="superscript"/>
          <w:lang w:val="nl-NL"/>
        </w:rPr>
        <w:t>(</w:t>
      </w:r>
      <w:r w:rsidRPr="00D74DE1">
        <w:rPr>
          <w:rStyle w:val="FootnoteReference"/>
        </w:rPr>
        <w:footnoteReference w:id="9"/>
      </w:r>
      <w:r w:rsidRPr="00E033B2">
        <w:rPr>
          <w:vertAlign w:val="superscript"/>
          <w:lang w:val="nl-NL"/>
        </w:rPr>
        <w:t>)</w:t>
      </w:r>
      <w:r w:rsidRPr="00E033B2">
        <w:rPr>
          <w:lang w:val="nl-NL"/>
        </w:rPr>
        <w:t xml:space="preserve"> xây dựng các công trình kết cấu hạ tầng phục vụ sản xuất, kinh doanh </w:t>
      </w:r>
      <w:r w:rsidRPr="00E033B2">
        <w:rPr>
          <w:i/>
          <w:lang w:val="nl-NL"/>
        </w:rPr>
        <w:t>(trụ sở, sân phơi, nhà kho, xưởng sơ chế, chế biến, điện, nước sinh hoạt, chợ, công trình thủy lợi, cơ sở hạ tầng vùng nuôi trồng thủy sản, cửa hàng vật tư nông nghiệp, giao thông nội đồng)</w:t>
      </w:r>
      <w:r>
        <w:rPr>
          <w:i/>
          <w:lang w:val="nl-NL"/>
        </w:rPr>
        <w:t>.</w:t>
      </w:r>
    </w:p>
    <w:p w14:paraId="1F53895C" w14:textId="3A934422" w:rsidR="000A220E" w:rsidRDefault="000A220E" w:rsidP="00BD76E7">
      <w:pPr>
        <w:spacing w:after="60"/>
        <w:ind w:firstLine="567"/>
        <w:rPr>
          <w:lang w:val="nl-NL"/>
        </w:rPr>
      </w:pPr>
      <w:r w:rsidRPr="000A220E">
        <w:rPr>
          <w:rFonts w:eastAsia=".VnTime"/>
          <w:bCs/>
          <w:lang w:val="nl-NL" w:eastAsia="ar-SA"/>
        </w:rPr>
        <w:t>- Chính sách giao đất, cho thuê đất</w:t>
      </w:r>
      <w:r>
        <w:rPr>
          <w:rFonts w:eastAsia=".VnTime"/>
          <w:bCs/>
          <w:lang w:val="nl-NL" w:eastAsia="ar-SA"/>
        </w:rPr>
        <w:t>:</w:t>
      </w:r>
      <w:r w:rsidRPr="000A220E">
        <w:rPr>
          <w:rFonts w:eastAsia=".VnTime"/>
          <w:bCs/>
          <w:lang w:val="nl-NL" w:eastAsia="ar-SA"/>
        </w:rPr>
        <w:t xml:space="preserve"> </w:t>
      </w:r>
      <w:r w:rsidR="00623545">
        <w:rPr>
          <w:lang w:val="nl-NL"/>
        </w:rPr>
        <w:t>Đ</w:t>
      </w:r>
      <w:r w:rsidRPr="000A220E">
        <w:rPr>
          <w:lang w:val="nl-NL"/>
        </w:rPr>
        <w:t>ã có 21 dự án của các HTX</w:t>
      </w:r>
      <w:r w:rsidR="00E329FD">
        <w:rPr>
          <w:rStyle w:val="FootnoteReference"/>
          <w:lang w:val="nl-NL"/>
        </w:rPr>
        <w:footnoteReference w:id="10"/>
      </w:r>
      <w:r w:rsidRPr="000A220E">
        <w:rPr>
          <w:lang w:val="nl-NL"/>
        </w:rPr>
        <w:t xml:space="preserve"> được giao, cho thuê đất tổng diện tích là </w:t>
      </w:r>
      <w:r w:rsidR="00E06C3F">
        <w:rPr>
          <w:lang w:val="nl-NL"/>
        </w:rPr>
        <w:t>730.390,8</w:t>
      </w:r>
      <w:r w:rsidRPr="000A220E">
        <w:rPr>
          <w:lang w:val="nl-NL"/>
        </w:rPr>
        <w:t xml:space="preserve"> m²</w:t>
      </w:r>
      <w:r w:rsidR="00623545">
        <w:rPr>
          <w:lang w:val="nl-NL"/>
        </w:rPr>
        <w:t>.</w:t>
      </w:r>
      <w:r w:rsidRPr="000A220E">
        <w:rPr>
          <w:lang w:val="nl-NL"/>
        </w:rPr>
        <w:t xml:space="preserve"> </w:t>
      </w:r>
      <w:r w:rsidR="00623545">
        <w:rPr>
          <w:lang w:val="nl-NL"/>
        </w:rPr>
        <w:t>T</w:t>
      </w:r>
      <w:r w:rsidRPr="000A220E">
        <w:rPr>
          <w:lang w:val="nl-NL"/>
        </w:rPr>
        <w:t xml:space="preserve">rong đó có 19 dự án thuê đất với diện tích </w:t>
      </w:r>
      <w:r w:rsidR="00E06C3F">
        <w:rPr>
          <w:lang w:val="nl-NL"/>
        </w:rPr>
        <w:t>428.082,4</w:t>
      </w:r>
      <w:r w:rsidRPr="000A220E">
        <w:rPr>
          <w:lang w:val="nl-NL"/>
        </w:rPr>
        <w:t xml:space="preserve"> m²; 01 dự án giao đất với diện tích 900 m²; 01 dự án giao đất gắn với thuê rừng với diện tích 301.408,4 m².</w:t>
      </w:r>
    </w:p>
    <w:p w14:paraId="2AB58FF0" w14:textId="08DB1B21" w:rsidR="000A220E" w:rsidRDefault="002B040A" w:rsidP="00BD76E7">
      <w:pPr>
        <w:spacing w:after="60"/>
        <w:ind w:firstLine="567"/>
        <w:rPr>
          <w:lang w:val="nl-NL"/>
        </w:rPr>
      </w:pPr>
      <w:r w:rsidRPr="002B040A">
        <w:rPr>
          <w:rFonts w:eastAsia=".VnTime"/>
          <w:bCs/>
          <w:lang w:val="nl-NL" w:eastAsia="ar-SA"/>
        </w:rPr>
        <w:t>- Chính sách hỗ trợ chế biến sản phẩm:</w:t>
      </w:r>
      <w:r>
        <w:rPr>
          <w:rFonts w:eastAsia=".VnTime"/>
          <w:bCs/>
          <w:lang w:val="nl-NL" w:eastAsia="ar-SA"/>
        </w:rPr>
        <w:t xml:space="preserve"> </w:t>
      </w:r>
      <w:r w:rsidRPr="002B040A">
        <w:rPr>
          <w:lang w:val="nl-NL"/>
        </w:rPr>
        <w:t>Đã hỗ trợ máy móc, thiết bị sản xuất, chế biến các sản phẩm nông nghiệp cho 24 HTX</w:t>
      </w:r>
      <w:r w:rsidR="00EE3482">
        <w:rPr>
          <w:rStyle w:val="FootnoteReference"/>
          <w:lang w:val="nl-NL"/>
        </w:rPr>
        <w:footnoteReference w:id="11"/>
      </w:r>
      <w:r w:rsidRPr="002B040A">
        <w:rPr>
          <w:lang w:val="nl-NL"/>
        </w:rPr>
        <w:t xml:space="preserve"> với tổng kinh phí 3.412,3 triệu đồng nhằm tạo điều kiện để HTX phát triển, tạo việc làm cho người lao động trên địa bàn tỉnh</w:t>
      </w:r>
      <w:r>
        <w:rPr>
          <w:lang w:val="nl-NL"/>
        </w:rPr>
        <w:t>.</w:t>
      </w:r>
    </w:p>
    <w:p w14:paraId="66F93E20" w14:textId="0654E655" w:rsidR="002B040A" w:rsidRPr="002B040A" w:rsidRDefault="002B040A" w:rsidP="00BD76E7">
      <w:pPr>
        <w:spacing w:after="60"/>
        <w:ind w:firstLine="567"/>
        <w:rPr>
          <w:lang w:val="nl-NL"/>
        </w:rPr>
      </w:pPr>
      <w:r w:rsidRPr="002B040A">
        <w:rPr>
          <w:bCs/>
          <w:lang w:val="nl-NL"/>
        </w:rPr>
        <w:t xml:space="preserve">- Chính sách ưu đãi về thuế, phí và lệ phí: </w:t>
      </w:r>
      <w:r w:rsidR="00623545">
        <w:rPr>
          <w:bCs/>
          <w:lang w:val="nl-NL"/>
        </w:rPr>
        <w:t>C</w:t>
      </w:r>
      <w:r>
        <w:rPr>
          <w:bCs/>
          <w:lang w:val="nl-NL"/>
        </w:rPr>
        <w:t>ác HTX được</w:t>
      </w:r>
      <w:r w:rsidRPr="002B040A">
        <w:rPr>
          <w:bCs/>
          <w:lang w:val="nl-NL"/>
        </w:rPr>
        <w:t xml:space="preserve"> miễn, giảm các loại thuế, phí và lệ phí như: Thuế thu nhập doanh nghiệp</w:t>
      </w:r>
      <w:r w:rsidR="00DA0E44">
        <w:rPr>
          <w:bCs/>
          <w:lang w:val="nl-NL"/>
        </w:rPr>
        <w:t xml:space="preserve">: </w:t>
      </w:r>
      <w:r w:rsidR="00DA0E44" w:rsidRPr="00BD76E7">
        <w:rPr>
          <w:lang w:val="nl-NL"/>
        </w:rPr>
        <w:t>1.444.488.747 đồng</w:t>
      </w:r>
      <w:r w:rsidRPr="00DA0E44">
        <w:rPr>
          <w:bCs/>
          <w:lang w:val="nl-NL"/>
        </w:rPr>
        <w:t xml:space="preserve">; </w:t>
      </w:r>
      <w:r w:rsidR="00DA0E44" w:rsidRPr="00DA0E44">
        <w:rPr>
          <w:bCs/>
          <w:lang w:val="nl-NL"/>
        </w:rPr>
        <w:t xml:space="preserve">tiền thuê đất: </w:t>
      </w:r>
      <w:r w:rsidR="00DA0E44" w:rsidRPr="00BD76E7">
        <w:rPr>
          <w:lang w:val="nl-NL"/>
        </w:rPr>
        <w:t>10.375.170.761 đồng</w:t>
      </w:r>
      <w:r w:rsidR="00DA0E44">
        <w:rPr>
          <w:lang w:val="nl-NL"/>
        </w:rPr>
        <w:t>;</w:t>
      </w:r>
      <w:r w:rsidR="00DA0E44" w:rsidRPr="00BD76E7">
        <w:rPr>
          <w:b/>
          <w:lang w:val="nl-NL"/>
        </w:rPr>
        <w:t xml:space="preserve"> </w:t>
      </w:r>
      <w:r w:rsidRPr="002B040A">
        <w:rPr>
          <w:bCs/>
          <w:lang w:val="nl-NL"/>
        </w:rPr>
        <w:t>lệ phí trước bạ</w:t>
      </w:r>
      <w:r w:rsidR="00DA0E44">
        <w:rPr>
          <w:bCs/>
          <w:lang w:val="nl-NL"/>
        </w:rPr>
        <w:t xml:space="preserve">: </w:t>
      </w:r>
      <w:r w:rsidR="00DA0E44" w:rsidRPr="00BD76E7">
        <w:rPr>
          <w:lang w:val="nl-NL"/>
        </w:rPr>
        <w:t>9.863.229</w:t>
      </w:r>
      <w:r w:rsidR="00DA0E44">
        <w:rPr>
          <w:lang w:val="nl-NL"/>
        </w:rPr>
        <w:t xml:space="preserve"> đồng; </w:t>
      </w:r>
      <w:r w:rsidR="00DA0E44">
        <w:rPr>
          <w:bCs/>
          <w:lang w:val="nl-NL"/>
        </w:rPr>
        <w:t xml:space="preserve">thuế môn bài: </w:t>
      </w:r>
      <w:r w:rsidR="00DA0E44" w:rsidRPr="00BD76E7">
        <w:rPr>
          <w:lang w:val="nl-NL"/>
        </w:rPr>
        <w:t>203.500.000</w:t>
      </w:r>
      <w:r w:rsidR="00DA0E44">
        <w:rPr>
          <w:bCs/>
          <w:lang w:val="nl-NL"/>
        </w:rPr>
        <w:t>;</w:t>
      </w:r>
      <w:r w:rsidRPr="002B040A">
        <w:rPr>
          <w:bCs/>
          <w:lang w:val="nl-NL"/>
        </w:rPr>
        <w:t xml:space="preserve"> </w:t>
      </w:r>
      <w:r w:rsidRPr="002B040A">
        <w:rPr>
          <w:lang w:val="nl-NL"/>
        </w:rPr>
        <w:t xml:space="preserve">miễn lệ phí đăng ký thành lập, đăng ký chuyển đổi hoạt động theo Luật HTX </w:t>
      </w:r>
      <w:r w:rsidR="0004528E">
        <w:rPr>
          <w:lang w:val="nl-NL"/>
        </w:rPr>
        <w:t xml:space="preserve">năm </w:t>
      </w:r>
      <w:r w:rsidRPr="002B040A">
        <w:rPr>
          <w:lang w:val="nl-NL"/>
        </w:rPr>
        <w:t>2012.</w:t>
      </w:r>
    </w:p>
    <w:p w14:paraId="79C4CD29" w14:textId="061B6673" w:rsidR="00E033B2" w:rsidRPr="00FB2EC8" w:rsidRDefault="00FB2EC8" w:rsidP="00BD76E7">
      <w:pPr>
        <w:spacing w:after="60"/>
        <w:ind w:firstLine="567"/>
        <w:rPr>
          <w:lang w:val="nl-NL"/>
        </w:rPr>
      </w:pPr>
      <w:r>
        <w:rPr>
          <w:b/>
          <w:bCs/>
          <w:lang w:val="nl-NL"/>
        </w:rPr>
        <w:t>3</w:t>
      </w:r>
      <w:r w:rsidRPr="00FB2EC8">
        <w:rPr>
          <w:b/>
          <w:bCs/>
          <w:lang w:val="nl-NL"/>
        </w:rPr>
        <w:t>. Kết quả</w:t>
      </w:r>
      <w:r w:rsidRPr="00FB2EC8">
        <w:rPr>
          <w:bCs/>
          <w:lang w:val="nl-NL"/>
        </w:rPr>
        <w:t xml:space="preserve"> </w:t>
      </w:r>
      <w:r w:rsidRPr="00FB2EC8">
        <w:rPr>
          <w:b/>
          <w:lang w:val="nl-NL"/>
        </w:rPr>
        <w:t>phát triển HTX, Liên hiệp HTX</w:t>
      </w:r>
      <w:r>
        <w:rPr>
          <w:b/>
          <w:lang w:val="nl-NL"/>
        </w:rPr>
        <w:t xml:space="preserve"> </w:t>
      </w:r>
      <w:r w:rsidRPr="00C830F0">
        <w:rPr>
          <w:rFonts w:eastAsia=".VnTime"/>
          <w:bCs/>
          <w:i/>
          <w:lang w:val="nl-NL" w:eastAsia="ar-SA"/>
        </w:rPr>
        <w:t>(phụ lục số 0</w:t>
      </w:r>
      <w:r>
        <w:rPr>
          <w:rFonts w:eastAsia=".VnTime"/>
          <w:bCs/>
          <w:i/>
          <w:lang w:val="nl-NL" w:eastAsia="ar-SA"/>
        </w:rPr>
        <w:t>2</w:t>
      </w:r>
      <w:r w:rsidR="00622F52">
        <w:rPr>
          <w:rFonts w:eastAsia=".VnTime"/>
          <w:bCs/>
          <w:i/>
          <w:lang w:val="nl-NL" w:eastAsia="ar-SA"/>
        </w:rPr>
        <w:t>, 03</w:t>
      </w:r>
      <w:r w:rsidRPr="00C830F0">
        <w:rPr>
          <w:rFonts w:eastAsia=".VnTime"/>
          <w:bCs/>
          <w:i/>
          <w:lang w:val="nl-NL" w:eastAsia="ar-SA"/>
        </w:rPr>
        <w:t xml:space="preserve"> kèm theo)</w:t>
      </w:r>
    </w:p>
    <w:p w14:paraId="03A71179" w14:textId="69F8430A" w:rsidR="00FB2EC8" w:rsidRPr="00152085" w:rsidRDefault="00FB2EC8" w:rsidP="00BD76E7">
      <w:pPr>
        <w:pStyle w:val="ts0"/>
        <w:spacing w:before="0" w:after="60"/>
        <w:ind w:firstLine="567"/>
        <w:rPr>
          <w:b/>
          <w:iCs/>
          <w:lang w:val="nl-NL"/>
        </w:rPr>
      </w:pPr>
      <w:r w:rsidRPr="00FB2EC8">
        <w:rPr>
          <w:spacing w:val="-4"/>
          <w:lang w:val="nl-NL"/>
        </w:rPr>
        <w:t xml:space="preserve">Tình hình phát triển HTX trên địa bàn đã có bước tiến triển mạnh về số lượng, một số HTX nông nghiệp đã thực sự hoạt động theo mô hình HTX kiểu mới, hoạt động hiệu quả, phát huy tốt những lợi thế của địa phương, góp phần phát triển kinh tế xã hội, tạo việc làm cho người </w:t>
      </w:r>
      <w:r w:rsidR="003E3EA7">
        <w:rPr>
          <w:spacing w:val="-4"/>
          <w:lang w:val="nl-NL"/>
        </w:rPr>
        <w:t xml:space="preserve">dân </w:t>
      </w:r>
      <w:r w:rsidR="004A7CEB" w:rsidRPr="004A7CEB">
        <w:rPr>
          <w:lang w:val="nl-NL"/>
        </w:rPr>
        <w:t>cần được nghiên cứu, đánh giá để nhân rộng</w:t>
      </w:r>
      <w:r w:rsidR="004A7CEB">
        <w:rPr>
          <w:rStyle w:val="FootnoteReference"/>
          <w:lang w:val="nl-NL"/>
        </w:rPr>
        <w:footnoteReference w:id="12"/>
      </w:r>
      <w:r w:rsidRPr="00FB2EC8">
        <w:rPr>
          <w:spacing w:val="-4"/>
          <w:lang w:val="nl-NL"/>
        </w:rPr>
        <w:t xml:space="preserve">. </w:t>
      </w:r>
      <w:r w:rsidR="00152085">
        <w:rPr>
          <w:spacing w:val="-4"/>
          <w:lang w:val="nl-NL"/>
        </w:rPr>
        <w:t xml:space="preserve">Một số HTX đã có </w:t>
      </w:r>
      <w:r w:rsidR="00152085" w:rsidRPr="00152085">
        <w:rPr>
          <w:lang w:val="nl-NL"/>
        </w:rPr>
        <w:t>các sản phẩm đạt chuẩn</w:t>
      </w:r>
      <w:r w:rsidR="00152085">
        <w:rPr>
          <w:lang w:val="nl-NL"/>
        </w:rPr>
        <w:t xml:space="preserve"> OCOP</w:t>
      </w:r>
      <w:r w:rsidR="00152085">
        <w:rPr>
          <w:rStyle w:val="FootnoteReference"/>
          <w:lang w:val="nl-NL"/>
        </w:rPr>
        <w:footnoteReference w:id="13"/>
      </w:r>
      <w:r w:rsidR="00152085">
        <w:rPr>
          <w:lang w:val="nl-NL"/>
        </w:rPr>
        <w:t xml:space="preserve">; </w:t>
      </w:r>
      <w:r w:rsidR="00152085" w:rsidRPr="00992E3B">
        <w:rPr>
          <w:lang w:val="nl-NL"/>
        </w:rPr>
        <w:t xml:space="preserve">có doanh thu và </w:t>
      </w:r>
      <w:r w:rsidR="00152085" w:rsidRPr="00992E3B">
        <w:rPr>
          <w:iCs/>
          <w:lang w:val="nl-NL"/>
        </w:rPr>
        <w:t xml:space="preserve">thực hiện </w:t>
      </w:r>
      <w:r w:rsidR="00152085" w:rsidRPr="00992E3B">
        <w:rPr>
          <w:iCs/>
          <w:lang w:val="nl-NL"/>
        </w:rPr>
        <w:lastRenderedPageBreak/>
        <w:t xml:space="preserve">việc phân phối thu nhập cho các thành viên </w:t>
      </w:r>
      <w:r w:rsidR="00C572F6">
        <w:rPr>
          <w:iCs/>
          <w:lang w:val="nl-NL"/>
        </w:rPr>
        <w:t>HTX</w:t>
      </w:r>
      <w:r w:rsidR="00152085" w:rsidRPr="00992E3B">
        <w:rPr>
          <w:rStyle w:val="FootnoteReference"/>
        </w:rPr>
        <w:footnoteReference w:id="14"/>
      </w:r>
      <w:r w:rsidR="00152085" w:rsidRPr="00992E3B">
        <w:rPr>
          <w:iCs/>
          <w:lang w:val="nl-NL"/>
        </w:rPr>
        <w:t xml:space="preserve"> </w:t>
      </w:r>
      <w:r w:rsidR="00152085" w:rsidRPr="00992E3B">
        <w:rPr>
          <w:lang w:val="nl-NL"/>
        </w:rPr>
        <w:t xml:space="preserve">và </w:t>
      </w:r>
      <w:r w:rsidR="00152085" w:rsidRPr="00992E3B">
        <w:rPr>
          <w:iCs/>
          <w:lang w:val="nl-NL"/>
        </w:rPr>
        <w:t>tạo việc làm theo thời vụ và thu nhập cho một bộ phận người lao động trên địa bàn</w:t>
      </w:r>
      <w:r w:rsidR="00152085" w:rsidRPr="00992E3B">
        <w:rPr>
          <w:rStyle w:val="FootnoteReference"/>
          <w:iCs/>
          <w:lang w:val="nl-NL"/>
        </w:rPr>
        <w:footnoteReference w:id="15"/>
      </w:r>
      <w:r w:rsidR="00152085" w:rsidRPr="00992E3B">
        <w:rPr>
          <w:lang w:val="nl-NL"/>
        </w:rPr>
        <w:t>.</w:t>
      </w:r>
    </w:p>
    <w:p w14:paraId="111A67CF" w14:textId="365C69FB" w:rsidR="00CA27D2" w:rsidRPr="00D571CE" w:rsidRDefault="004E7CBB" w:rsidP="00BD76E7">
      <w:pPr>
        <w:pStyle w:val="ts0"/>
        <w:spacing w:before="0" w:after="60"/>
        <w:ind w:firstLine="567"/>
        <w:rPr>
          <w:b/>
          <w:lang w:val="nl-NL"/>
        </w:rPr>
      </w:pPr>
      <w:r w:rsidRPr="00640FDE">
        <w:rPr>
          <w:b/>
          <w:iCs/>
          <w:lang w:val="nl-NL"/>
        </w:rPr>
        <w:t>I</w:t>
      </w:r>
      <w:bookmarkEnd w:id="0"/>
      <w:r w:rsidR="00CA27D2">
        <w:rPr>
          <w:b/>
          <w:bCs/>
          <w:iCs/>
          <w:lang w:val="nl-NL"/>
        </w:rPr>
        <w:t>I</w:t>
      </w:r>
      <w:r w:rsidR="00C11B00" w:rsidRPr="00C11B00">
        <w:rPr>
          <w:b/>
          <w:bCs/>
          <w:lang w:val="nl-NL"/>
        </w:rPr>
        <w:t xml:space="preserve">. </w:t>
      </w:r>
      <w:r w:rsidR="00CA27D2" w:rsidRPr="00D571CE">
        <w:rPr>
          <w:b/>
          <w:lang w:val="nl-NL"/>
        </w:rPr>
        <w:t>HẠN CHẾ VÀ NGUYÊN NHÂN</w:t>
      </w:r>
    </w:p>
    <w:p w14:paraId="3D0D185C" w14:textId="41F176DA" w:rsidR="00CA27D2" w:rsidRPr="00D571CE" w:rsidRDefault="00216938" w:rsidP="00BD76E7">
      <w:pPr>
        <w:pStyle w:val="ts0"/>
        <w:spacing w:before="0" w:after="60"/>
        <w:ind w:firstLine="567"/>
        <w:rPr>
          <w:b/>
          <w:lang w:val="nl-NL"/>
        </w:rPr>
      </w:pPr>
      <w:r>
        <w:rPr>
          <w:b/>
          <w:lang w:val="nl-NL"/>
        </w:rPr>
        <w:t xml:space="preserve">1. </w:t>
      </w:r>
      <w:r w:rsidR="0018013B">
        <w:rPr>
          <w:b/>
          <w:lang w:val="nl-NL"/>
        </w:rPr>
        <w:t>H</w:t>
      </w:r>
      <w:r w:rsidR="00CA27D2" w:rsidRPr="00D571CE">
        <w:rPr>
          <w:b/>
          <w:lang w:val="nl-NL"/>
        </w:rPr>
        <w:t>ạn chế</w:t>
      </w:r>
    </w:p>
    <w:p w14:paraId="0653E794" w14:textId="6585045A" w:rsidR="00EA359E" w:rsidRPr="00EA359E" w:rsidRDefault="00EA359E" w:rsidP="00BD76E7">
      <w:pPr>
        <w:spacing w:after="60"/>
        <w:ind w:firstLine="567"/>
        <w:rPr>
          <w:b/>
          <w:bCs/>
          <w:lang w:val="nl-NL"/>
        </w:rPr>
      </w:pPr>
      <w:r>
        <w:rPr>
          <w:b/>
          <w:bCs/>
          <w:lang w:val="nl-NL"/>
        </w:rPr>
        <w:t xml:space="preserve">1.1. </w:t>
      </w:r>
      <w:r w:rsidRPr="00EA359E">
        <w:rPr>
          <w:b/>
          <w:bCs/>
          <w:lang w:val="nl-NL"/>
        </w:rPr>
        <w:t>Đối với cơ quan quản lý nhà nước và cơ quan có liên quan</w:t>
      </w:r>
    </w:p>
    <w:p w14:paraId="4D9B806F" w14:textId="7A262874" w:rsidR="00BA4670" w:rsidRPr="002540C1" w:rsidRDefault="008E4317" w:rsidP="00BD76E7">
      <w:pPr>
        <w:spacing w:after="60"/>
        <w:ind w:firstLine="567"/>
        <w:rPr>
          <w:bCs/>
          <w:lang w:val="nl-NL"/>
        </w:rPr>
      </w:pPr>
      <w:r w:rsidRPr="002540C1">
        <w:rPr>
          <w:bCs/>
          <w:lang w:val="nl-NL"/>
        </w:rPr>
        <w:t xml:space="preserve">- </w:t>
      </w:r>
      <w:r>
        <w:rPr>
          <w:bCs/>
          <w:lang w:val="nl-NL"/>
        </w:rPr>
        <w:t xml:space="preserve">Hoạt động </w:t>
      </w:r>
      <w:r w:rsidRPr="005E5AA4">
        <w:rPr>
          <w:lang w:val="nl-NL"/>
        </w:rPr>
        <w:t>Ban Chỉ đạo phát triển kinh tế tập thể</w:t>
      </w:r>
      <w:r>
        <w:rPr>
          <w:lang w:val="nl-NL"/>
        </w:rPr>
        <w:t xml:space="preserve"> các cấp chưa thường xuyên, sâu sát; thiếu </w:t>
      </w:r>
      <w:r w:rsidRPr="002540C1">
        <w:rPr>
          <w:lang w:val="nl-NL"/>
        </w:rPr>
        <w:t>kiểm tra, theo dõi tình hình hoạt động của các HTX, chưa kịp thời nắm bắt được khó khăn của các HTX để</w:t>
      </w:r>
      <w:r w:rsidR="00F24F02">
        <w:rPr>
          <w:lang w:val="nl-NL"/>
        </w:rPr>
        <w:t xml:space="preserve"> có giải pháp</w:t>
      </w:r>
      <w:r w:rsidRPr="002540C1">
        <w:rPr>
          <w:lang w:val="nl-NL"/>
        </w:rPr>
        <w:t xml:space="preserve"> xử lý</w:t>
      </w:r>
      <w:r w:rsidR="004157D9">
        <w:rPr>
          <w:lang w:val="nl-NL"/>
        </w:rPr>
        <w:t xml:space="preserve"> phù</w:t>
      </w:r>
      <w:r w:rsidR="00F24F02">
        <w:rPr>
          <w:lang w:val="nl-NL"/>
        </w:rPr>
        <w:t xml:space="preserve"> hợp</w:t>
      </w:r>
      <w:r>
        <w:rPr>
          <w:lang w:val="nl-NL"/>
        </w:rPr>
        <w:t>.</w:t>
      </w:r>
    </w:p>
    <w:p w14:paraId="0BE890F6" w14:textId="3EE56308" w:rsidR="00EA1292" w:rsidRDefault="00EA359E" w:rsidP="00BD76E7">
      <w:pPr>
        <w:spacing w:after="60"/>
        <w:ind w:firstLine="567"/>
        <w:rPr>
          <w:iCs/>
          <w:lang w:val="nl-NL"/>
        </w:rPr>
      </w:pPr>
      <w:r>
        <w:rPr>
          <w:b/>
          <w:bCs/>
          <w:lang w:val="nl-NL"/>
        </w:rPr>
        <w:t xml:space="preserve">- </w:t>
      </w:r>
      <w:r w:rsidRPr="00F27EE6">
        <w:rPr>
          <w:bCs/>
          <w:lang w:val="nl-NL"/>
        </w:rPr>
        <w:t xml:space="preserve">Các </w:t>
      </w:r>
      <w:r w:rsidRPr="00F27EE6">
        <w:rPr>
          <w:lang w:val="nl-NL"/>
        </w:rPr>
        <w:t>cơ quan c</w:t>
      </w:r>
      <w:r w:rsidRPr="00BD76E7">
        <w:rPr>
          <w:lang w:val="nl-NL"/>
        </w:rPr>
        <w:t>ấp giấy chứng nhận đăng ký thành lập HTX thiếu sự kiểm tra ban đầu khi thành lập HTX</w:t>
      </w:r>
      <w:r>
        <w:rPr>
          <w:lang w:val="nl-NL"/>
        </w:rPr>
        <w:t xml:space="preserve">, </w:t>
      </w:r>
      <w:r>
        <w:rPr>
          <w:color w:val="000000"/>
          <w:lang w:val="vi-VN"/>
        </w:rPr>
        <w:t>c</w:t>
      </w:r>
      <w:r w:rsidRPr="00EA359E">
        <w:rPr>
          <w:color w:val="000000"/>
          <w:lang w:val="nl-NL"/>
        </w:rPr>
        <w:t>ó</w:t>
      </w:r>
      <w:r w:rsidRPr="003B3E4D">
        <w:rPr>
          <w:color w:val="000000"/>
          <w:lang w:val="vi-VN"/>
        </w:rPr>
        <w:t xml:space="preserve"> HTX thành lập chỉ để đảm bảo đủ các điều kiện để đạt tiêu chí xây dựng nông thôn mới.</w:t>
      </w:r>
      <w:r w:rsidRPr="00EA359E">
        <w:rPr>
          <w:color w:val="000000"/>
          <w:lang w:val="nl-NL"/>
        </w:rPr>
        <w:t xml:space="preserve"> </w:t>
      </w:r>
      <w:r w:rsidR="00F846BF">
        <w:rPr>
          <w:lang w:val="nl-NL"/>
        </w:rPr>
        <w:t>Nhiều</w:t>
      </w:r>
      <w:r w:rsidR="00F846BF" w:rsidRPr="002540C1">
        <w:rPr>
          <w:lang w:val="nl-NL"/>
        </w:rPr>
        <w:t xml:space="preserve"> HTX ngừng hoạt động </w:t>
      </w:r>
      <w:r w:rsidR="00F846BF">
        <w:rPr>
          <w:lang w:val="nl-NL"/>
        </w:rPr>
        <w:t xml:space="preserve">trong thời gian dài nhưng Phòng Tài chính </w:t>
      </w:r>
      <w:r w:rsidR="00BA4670">
        <w:rPr>
          <w:lang w:val="nl-NL"/>
        </w:rPr>
        <w:t>-</w:t>
      </w:r>
      <w:r w:rsidR="00F846BF">
        <w:rPr>
          <w:lang w:val="nl-NL"/>
        </w:rPr>
        <w:t xml:space="preserve"> Kế hoạch cấp huyện không n</w:t>
      </w:r>
      <w:r w:rsidR="00BA4670">
        <w:rPr>
          <w:lang w:val="nl-NL"/>
        </w:rPr>
        <w:t>ắ</w:t>
      </w:r>
      <w:r w:rsidR="00F846BF">
        <w:rPr>
          <w:lang w:val="nl-NL"/>
        </w:rPr>
        <w:t>m được</w:t>
      </w:r>
      <w:r w:rsidR="00DB2E6C">
        <w:rPr>
          <w:lang w:val="nl-NL"/>
        </w:rPr>
        <w:t xml:space="preserve"> và</w:t>
      </w:r>
      <w:r w:rsidR="00BA4670">
        <w:rPr>
          <w:lang w:val="nl-NL"/>
        </w:rPr>
        <w:t xml:space="preserve"> vẫn báo cáo về Đoàn giám sát.</w:t>
      </w:r>
      <w:r w:rsidR="00F846BF" w:rsidRPr="00F846BF">
        <w:rPr>
          <w:iCs/>
          <w:lang w:val="nl-NL"/>
        </w:rPr>
        <w:t xml:space="preserve"> </w:t>
      </w:r>
    </w:p>
    <w:p w14:paraId="180FEDE7" w14:textId="578ADA77" w:rsidR="00D67A4E" w:rsidRDefault="00D67A4E" w:rsidP="00BD76E7">
      <w:pPr>
        <w:spacing w:after="60"/>
        <w:ind w:firstLine="567"/>
        <w:rPr>
          <w:lang w:val="nl-NL"/>
        </w:rPr>
      </w:pPr>
      <w:r>
        <w:rPr>
          <w:b/>
          <w:bCs/>
          <w:lang w:val="nl-NL"/>
        </w:rPr>
        <w:t xml:space="preserve">- </w:t>
      </w:r>
      <w:r w:rsidRPr="003A1CF3">
        <w:rPr>
          <w:lang w:val="nl-NL"/>
        </w:rPr>
        <w:t xml:space="preserve">Đa số </w:t>
      </w:r>
      <w:r>
        <w:rPr>
          <w:lang w:val="nl-NL"/>
        </w:rPr>
        <w:t>các HTX không tổ chức Đại hội thành viên thường niên</w:t>
      </w:r>
      <w:r w:rsidR="00623545">
        <w:rPr>
          <w:lang w:val="nl-NL"/>
        </w:rPr>
        <w:t>,</w:t>
      </w:r>
      <w:r>
        <w:rPr>
          <w:lang w:val="nl-NL"/>
        </w:rPr>
        <w:t xml:space="preserve"> không báo cáo </w:t>
      </w:r>
      <w:r w:rsidRPr="003A1CF3">
        <w:rPr>
          <w:lang w:val="nl-NL"/>
        </w:rPr>
        <w:t xml:space="preserve">tình hình hoạt động của </w:t>
      </w:r>
      <w:r>
        <w:rPr>
          <w:lang w:val="nl-NL"/>
        </w:rPr>
        <w:t>HTX</w:t>
      </w:r>
      <w:r w:rsidRPr="003A1CF3">
        <w:rPr>
          <w:lang w:val="nl-NL"/>
        </w:rPr>
        <w:t xml:space="preserve"> với cơ quan đăng ký </w:t>
      </w:r>
      <w:r>
        <w:rPr>
          <w:lang w:val="nl-NL"/>
        </w:rPr>
        <w:t>HTX theo quy định nhưng chưa</w:t>
      </w:r>
      <w:r w:rsidR="00943119">
        <w:rPr>
          <w:lang w:val="nl-NL"/>
        </w:rPr>
        <w:t xml:space="preserve"> cơ quan, tổ chức có thẩm quyền nào</w:t>
      </w:r>
      <w:r>
        <w:rPr>
          <w:lang w:val="nl-NL"/>
        </w:rPr>
        <w:t xml:space="preserve"> có giải pháp chấn chỉnh.</w:t>
      </w:r>
    </w:p>
    <w:p w14:paraId="3DF5D0BB" w14:textId="4146B480" w:rsidR="00D67A4E" w:rsidRDefault="00D67A4E" w:rsidP="00BD76E7">
      <w:pPr>
        <w:spacing w:after="60"/>
        <w:ind w:firstLine="567"/>
        <w:rPr>
          <w:lang w:val="nl-NL"/>
        </w:rPr>
      </w:pPr>
      <w:r>
        <w:rPr>
          <w:lang w:val="nl-NL"/>
        </w:rPr>
        <w:t xml:space="preserve">- </w:t>
      </w:r>
      <w:r w:rsidRPr="00D67A4E">
        <w:rPr>
          <w:lang w:val="nl-NL"/>
        </w:rPr>
        <w:t xml:space="preserve">Việc lãnh đạo, chỉ đạo của cấp ủy, chính quyền địa phương </w:t>
      </w:r>
      <w:r w:rsidR="00C02DA0">
        <w:rPr>
          <w:lang w:val="nl-NL"/>
        </w:rPr>
        <w:t xml:space="preserve">các cấp </w:t>
      </w:r>
      <w:r w:rsidRPr="00D67A4E">
        <w:rPr>
          <w:lang w:val="nl-NL"/>
        </w:rPr>
        <w:t>chưa sâu sát, liên tục</w:t>
      </w:r>
      <w:r w:rsidR="002B3351">
        <w:rPr>
          <w:lang w:val="nl-NL"/>
        </w:rPr>
        <w:t xml:space="preserve">; </w:t>
      </w:r>
      <w:r w:rsidR="002B3351" w:rsidRPr="00905439">
        <w:rPr>
          <w:lang w:val="nl-NL"/>
        </w:rPr>
        <w:t>chưa t</w:t>
      </w:r>
      <w:r w:rsidR="002B3351" w:rsidRPr="00460C84">
        <w:rPr>
          <w:lang w:val="nl-NL"/>
        </w:rPr>
        <w:t>ạo điều kiện, hỗ trợ</w:t>
      </w:r>
      <w:r w:rsidR="002B3351" w:rsidRPr="007F3877">
        <w:rPr>
          <w:lang w:val="nl-NL"/>
        </w:rPr>
        <w:t xml:space="preserve">, </w:t>
      </w:r>
      <w:r w:rsidR="002B3351">
        <w:rPr>
          <w:lang w:val="nl-NL"/>
        </w:rPr>
        <w:t>quan tâm đến hoạt động của các HTX</w:t>
      </w:r>
      <w:r w:rsidRPr="00D67A4E">
        <w:rPr>
          <w:lang w:val="nl-NL"/>
        </w:rPr>
        <w:t xml:space="preserve">. Việc bố trí cán bộ quản lý nhà nước theo dõi về </w:t>
      </w:r>
      <w:r>
        <w:rPr>
          <w:lang w:val="nl-NL"/>
        </w:rPr>
        <w:t xml:space="preserve">hoạt động của các </w:t>
      </w:r>
      <w:r w:rsidRPr="00D67A4E">
        <w:rPr>
          <w:lang w:val="nl-NL"/>
        </w:rPr>
        <w:t>HTX còn bất cập</w:t>
      </w:r>
      <w:r w:rsidR="002B3351">
        <w:rPr>
          <w:lang w:val="nl-NL"/>
        </w:rPr>
        <w:t>.</w:t>
      </w:r>
      <w:r>
        <w:rPr>
          <w:lang w:val="nl-NL"/>
        </w:rPr>
        <w:t xml:space="preserve"> </w:t>
      </w:r>
    </w:p>
    <w:p w14:paraId="754D9EEB" w14:textId="1B86BCAB" w:rsidR="00EA359E" w:rsidRDefault="00705A08" w:rsidP="00BD76E7">
      <w:pPr>
        <w:spacing w:after="60"/>
        <w:ind w:firstLine="567"/>
        <w:rPr>
          <w:iCs/>
          <w:lang w:val="nl-NL"/>
        </w:rPr>
      </w:pPr>
      <w:r>
        <w:rPr>
          <w:color w:val="000000"/>
          <w:lang w:val="nl-NL"/>
        </w:rPr>
        <w:t xml:space="preserve">- </w:t>
      </w:r>
      <w:r w:rsidR="009C6EB4">
        <w:rPr>
          <w:iCs/>
          <w:lang w:val="nl-NL"/>
        </w:rPr>
        <w:t>C</w:t>
      </w:r>
      <w:r w:rsidR="009C6EB4" w:rsidRPr="00AF3A09">
        <w:rPr>
          <w:iCs/>
          <w:lang w:val="nl-NL"/>
        </w:rPr>
        <w:t>ác chủ trương, chính sách hỗ trợ, ưu đãi của Nhà nước</w:t>
      </w:r>
      <w:r w:rsidR="009C6EB4">
        <w:rPr>
          <w:iCs/>
          <w:lang w:val="nl-NL"/>
        </w:rPr>
        <w:t xml:space="preserve"> cho HTX được quy định nhiều nhưng </w:t>
      </w:r>
      <w:r w:rsidR="000079EB">
        <w:rPr>
          <w:iCs/>
          <w:lang w:val="nl-NL"/>
        </w:rPr>
        <w:t>t</w:t>
      </w:r>
      <w:r w:rsidR="009C6EB4">
        <w:rPr>
          <w:iCs/>
          <w:lang w:val="nl-NL"/>
        </w:rPr>
        <w:t xml:space="preserve">riển khai trên thực tế cho số HTX đủ điều kiện </w:t>
      </w:r>
      <w:r w:rsidR="00E22977">
        <w:rPr>
          <w:iCs/>
          <w:lang w:val="nl-NL"/>
        </w:rPr>
        <w:t xml:space="preserve">được </w:t>
      </w:r>
      <w:r w:rsidR="009C6EB4">
        <w:rPr>
          <w:iCs/>
          <w:lang w:val="nl-NL"/>
        </w:rPr>
        <w:t>thụ hưởng rất ít.</w:t>
      </w:r>
      <w:r w:rsidR="00527CAB">
        <w:rPr>
          <w:iCs/>
          <w:lang w:val="nl-NL"/>
        </w:rPr>
        <w:t xml:space="preserve"> </w:t>
      </w:r>
    </w:p>
    <w:p w14:paraId="71C0A9FF" w14:textId="77777777" w:rsidR="00B33770" w:rsidRDefault="00C02DA0" w:rsidP="00BD76E7">
      <w:pPr>
        <w:spacing w:after="60"/>
        <w:ind w:firstLine="567"/>
        <w:rPr>
          <w:lang w:val="nl-NL"/>
        </w:rPr>
      </w:pPr>
      <w:r w:rsidRPr="00581B3D">
        <w:rPr>
          <w:lang w:val="nl-NL"/>
        </w:rPr>
        <w:t xml:space="preserve">- Công tác </w:t>
      </w:r>
      <w:r>
        <w:rPr>
          <w:lang w:val="nl-NL"/>
        </w:rPr>
        <w:t xml:space="preserve">phối hợp </w:t>
      </w:r>
      <w:r w:rsidRPr="00581B3D">
        <w:rPr>
          <w:lang w:val="nl-NL"/>
        </w:rPr>
        <w:t xml:space="preserve">thanh tra, kiểm tra </w:t>
      </w:r>
      <w:r>
        <w:rPr>
          <w:lang w:val="nl-NL"/>
        </w:rPr>
        <w:t xml:space="preserve">tình hình hoạt động của </w:t>
      </w:r>
      <w:r w:rsidRPr="00581B3D">
        <w:rPr>
          <w:lang w:val="nl-NL"/>
        </w:rPr>
        <w:t xml:space="preserve">các HTX trên địa bàn tỉnh </w:t>
      </w:r>
      <w:r>
        <w:rPr>
          <w:lang w:val="nl-NL"/>
        </w:rPr>
        <w:t>chưa được thực hiện.</w:t>
      </w:r>
    </w:p>
    <w:p w14:paraId="17096D4F" w14:textId="726C28BA" w:rsidR="00C02DA0" w:rsidRDefault="00B33770" w:rsidP="00BD76E7">
      <w:pPr>
        <w:spacing w:after="60"/>
        <w:ind w:firstLine="567"/>
        <w:rPr>
          <w:b/>
          <w:bCs/>
          <w:lang w:val="nl-NL"/>
        </w:rPr>
      </w:pPr>
      <w:r w:rsidRPr="00527CAB">
        <w:rPr>
          <w:b/>
          <w:bCs/>
          <w:lang w:val="nl-NL"/>
        </w:rPr>
        <w:t>1.2. Đối với HTX</w:t>
      </w:r>
      <w:r w:rsidR="00C02DA0">
        <w:rPr>
          <w:b/>
          <w:bCs/>
          <w:lang w:val="nl-NL"/>
        </w:rPr>
        <w:t xml:space="preserve"> </w:t>
      </w:r>
    </w:p>
    <w:p w14:paraId="109F5B87" w14:textId="04EBDBC1" w:rsidR="001A723B" w:rsidRDefault="00E224CC" w:rsidP="00BD76E7">
      <w:pPr>
        <w:spacing w:after="60"/>
        <w:ind w:firstLine="567"/>
        <w:rPr>
          <w:bCs/>
          <w:lang w:val="nl-NL"/>
        </w:rPr>
      </w:pPr>
      <w:r>
        <w:rPr>
          <w:rFonts w:eastAsia=".VnTime"/>
          <w:bCs/>
          <w:lang w:val="nl-NL" w:eastAsia="ar-SA"/>
        </w:rPr>
        <w:t xml:space="preserve"> </w:t>
      </w:r>
      <w:r w:rsidR="00DB225B">
        <w:rPr>
          <w:rFonts w:eastAsia=".VnTime"/>
          <w:bCs/>
          <w:lang w:val="nl-NL" w:eastAsia="ar-SA"/>
        </w:rPr>
        <w:t>Theo Báo cáo của UBND tỉnh</w:t>
      </w:r>
      <w:r w:rsidR="001A723B">
        <w:rPr>
          <w:rFonts w:eastAsia=".VnTime"/>
          <w:bCs/>
          <w:lang w:val="nl-NL" w:eastAsia="ar-SA"/>
        </w:rPr>
        <w:t xml:space="preserve"> </w:t>
      </w:r>
      <w:r w:rsidR="001A723B">
        <w:rPr>
          <w:bCs/>
          <w:lang w:val="nl-NL"/>
        </w:rPr>
        <w:t xml:space="preserve">và các cơ quan liên quan </w:t>
      </w:r>
      <w:r w:rsidR="001A723B" w:rsidRPr="002540C1">
        <w:rPr>
          <w:bCs/>
          <w:i/>
          <w:lang w:val="nl-NL"/>
        </w:rPr>
        <w:t>(Sở Kế hoạch và Đầu tư, Liên minh HTX tỉnh)</w:t>
      </w:r>
      <w:r w:rsidR="001A723B">
        <w:rPr>
          <w:bCs/>
          <w:lang w:val="nl-NL"/>
        </w:rPr>
        <w:t xml:space="preserve"> thì 100% HTX hiện có trên địa bàn tỉnh đang hoạt động theo đúng Luật HTX năm 2012 và có </w:t>
      </w:r>
      <w:r w:rsidR="001A723B" w:rsidRPr="00FB2EC8">
        <w:rPr>
          <w:lang w:val="nl-NL"/>
        </w:rPr>
        <w:t>15 HTX ng</w:t>
      </w:r>
      <w:r w:rsidR="008D705D">
        <w:rPr>
          <w:lang w:val="nl-NL"/>
        </w:rPr>
        <w:t>ừ</w:t>
      </w:r>
      <w:r w:rsidR="001A723B" w:rsidRPr="00FB2EC8">
        <w:rPr>
          <w:lang w:val="nl-NL"/>
        </w:rPr>
        <w:t>ng hoạt động</w:t>
      </w:r>
      <w:r w:rsidR="001A723B">
        <w:rPr>
          <w:lang w:val="nl-NL"/>
        </w:rPr>
        <w:t>.</w:t>
      </w:r>
      <w:r w:rsidR="001A723B">
        <w:rPr>
          <w:bCs/>
          <w:lang w:val="nl-NL"/>
        </w:rPr>
        <w:t xml:space="preserve"> Tuy nhiên, qua giám sát thực tế </w:t>
      </w:r>
      <w:r w:rsidR="005B5B95">
        <w:rPr>
          <w:bCs/>
          <w:lang w:val="nl-NL"/>
        </w:rPr>
        <w:t xml:space="preserve">ở 5 huyện, thành phố </w:t>
      </w:r>
      <w:r w:rsidR="005B5B95" w:rsidRPr="00BD76E7">
        <w:rPr>
          <w:bCs/>
          <w:i/>
          <w:lang w:val="nl-NL"/>
        </w:rPr>
        <w:t xml:space="preserve">(chưa tính 05 huyện </w:t>
      </w:r>
      <w:r w:rsidR="00860B80">
        <w:rPr>
          <w:bCs/>
          <w:i/>
          <w:lang w:val="nl-NL"/>
        </w:rPr>
        <w:t>không</w:t>
      </w:r>
      <w:r w:rsidR="005B5B95">
        <w:rPr>
          <w:bCs/>
          <w:i/>
          <w:lang w:val="nl-NL"/>
        </w:rPr>
        <w:t xml:space="preserve"> </w:t>
      </w:r>
      <w:r w:rsidR="005B5B95" w:rsidRPr="00BD76E7">
        <w:rPr>
          <w:bCs/>
          <w:i/>
          <w:lang w:val="nl-NL"/>
        </w:rPr>
        <w:t>giám sát trực tiếp)</w:t>
      </w:r>
      <w:r w:rsidR="005B5B95">
        <w:rPr>
          <w:bCs/>
          <w:lang w:val="nl-NL"/>
        </w:rPr>
        <w:t xml:space="preserve"> </w:t>
      </w:r>
      <w:r w:rsidR="001A723B">
        <w:rPr>
          <w:bCs/>
          <w:lang w:val="nl-NL"/>
        </w:rPr>
        <w:t>cho thấy:</w:t>
      </w:r>
    </w:p>
    <w:p w14:paraId="1F54EBA0" w14:textId="6D9372A3" w:rsidR="00F846BF" w:rsidRDefault="005B5B95" w:rsidP="00BD76E7">
      <w:pPr>
        <w:spacing w:after="60"/>
        <w:ind w:firstLine="567"/>
        <w:rPr>
          <w:iCs/>
          <w:lang w:val="nl-NL"/>
        </w:rPr>
      </w:pPr>
      <w:r>
        <w:rPr>
          <w:lang w:val="nl-NL"/>
        </w:rPr>
        <w:t>-</w:t>
      </w:r>
      <w:r w:rsidR="001A723B">
        <w:rPr>
          <w:lang w:val="nl-NL"/>
        </w:rPr>
        <w:t xml:space="preserve"> Có 29 HTX</w:t>
      </w:r>
      <w:r w:rsidR="001A723B">
        <w:rPr>
          <w:rStyle w:val="FootnoteReference"/>
          <w:lang w:val="nl-NL"/>
        </w:rPr>
        <w:footnoteReference w:id="16"/>
      </w:r>
      <w:r w:rsidR="00F846BF">
        <w:rPr>
          <w:lang w:val="nl-NL"/>
        </w:rPr>
        <w:t xml:space="preserve"> trên địa bàn 5 huyện, thành phố ngừng hoạt động </w:t>
      </w:r>
      <w:r w:rsidR="00F846BF">
        <w:rPr>
          <w:iCs/>
          <w:lang w:val="nl-NL"/>
        </w:rPr>
        <w:t xml:space="preserve">nhưng đến nay chưa làm thủ tục giải thể theo quy định </w:t>
      </w:r>
      <w:r w:rsidR="00F846BF" w:rsidRPr="00C830F0">
        <w:rPr>
          <w:rFonts w:eastAsia=".VnTime"/>
          <w:bCs/>
          <w:i/>
          <w:lang w:val="nl-NL" w:eastAsia="ar-SA"/>
        </w:rPr>
        <w:t>(</w:t>
      </w:r>
      <w:r w:rsidR="00F846BF">
        <w:rPr>
          <w:rFonts w:eastAsia=".VnTime"/>
          <w:bCs/>
          <w:i/>
          <w:lang w:val="nl-NL" w:eastAsia="ar-SA"/>
        </w:rPr>
        <w:t xml:space="preserve">chi tiết </w:t>
      </w:r>
      <w:r w:rsidR="00F846BF" w:rsidRPr="00C830F0">
        <w:rPr>
          <w:rFonts w:eastAsia=".VnTime"/>
          <w:bCs/>
          <w:i/>
          <w:lang w:val="nl-NL" w:eastAsia="ar-SA"/>
        </w:rPr>
        <w:t>phụ lục số 0</w:t>
      </w:r>
      <w:r w:rsidR="00F846BF">
        <w:rPr>
          <w:rFonts w:eastAsia=".VnTime"/>
          <w:bCs/>
          <w:i/>
          <w:lang w:val="nl-NL" w:eastAsia="ar-SA"/>
        </w:rPr>
        <w:t>4</w:t>
      </w:r>
      <w:r w:rsidR="00F846BF" w:rsidRPr="00C830F0">
        <w:rPr>
          <w:rFonts w:eastAsia=".VnTime"/>
          <w:bCs/>
          <w:i/>
          <w:lang w:val="nl-NL" w:eastAsia="ar-SA"/>
        </w:rPr>
        <w:t xml:space="preserve"> kèm theo)</w:t>
      </w:r>
      <w:r w:rsidR="00F846BF">
        <w:rPr>
          <w:iCs/>
          <w:lang w:val="nl-NL"/>
        </w:rPr>
        <w:t>.</w:t>
      </w:r>
    </w:p>
    <w:p w14:paraId="07575282" w14:textId="0477C6B0" w:rsidR="008D705D" w:rsidRDefault="005B5B95" w:rsidP="00BD76E7">
      <w:pPr>
        <w:spacing w:after="60"/>
        <w:ind w:firstLine="567"/>
        <w:rPr>
          <w:bCs/>
          <w:lang w:val="nl-NL"/>
        </w:rPr>
      </w:pPr>
      <w:r>
        <w:rPr>
          <w:iCs/>
          <w:lang w:val="nl-NL"/>
        </w:rPr>
        <w:lastRenderedPageBreak/>
        <w:t>-</w:t>
      </w:r>
      <w:r w:rsidR="00546EB9">
        <w:rPr>
          <w:iCs/>
          <w:lang w:val="nl-NL"/>
        </w:rPr>
        <w:t xml:space="preserve"> N</w:t>
      </w:r>
      <w:r w:rsidR="00546EB9" w:rsidRPr="002540C1">
        <w:rPr>
          <w:bCs/>
          <w:lang w:val="nl-NL"/>
        </w:rPr>
        <w:t xml:space="preserve">hiều HTX hoạt động không </w:t>
      </w:r>
      <w:r w:rsidR="00263FB8">
        <w:rPr>
          <w:bCs/>
          <w:lang w:val="nl-NL"/>
        </w:rPr>
        <w:t>bản chất của L</w:t>
      </w:r>
      <w:r w:rsidR="00546EB9" w:rsidRPr="002540C1">
        <w:rPr>
          <w:bCs/>
          <w:lang w:val="nl-NL"/>
        </w:rPr>
        <w:t>uật HTX</w:t>
      </w:r>
      <w:r w:rsidR="00546EB9">
        <w:rPr>
          <w:bCs/>
          <w:lang w:val="nl-NL"/>
        </w:rPr>
        <w:t xml:space="preserve"> năm 2012 như: </w:t>
      </w:r>
    </w:p>
    <w:p w14:paraId="3DB0384E" w14:textId="1F07D0DA" w:rsidR="008D705D" w:rsidRDefault="005B5B95" w:rsidP="00BD76E7">
      <w:pPr>
        <w:spacing w:after="60"/>
        <w:ind w:firstLine="567"/>
        <w:rPr>
          <w:lang w:val="nl-NL"/>
        </w:rPr>
      </w:pPr>
      <w:r>
        <w:rPr>
          <w:lang w:val="nl-NL"/>
        </w:rPr>
        <w:t xml:space="preserve">+ </w:t>
      </w:r>
      <w:r w:rsidR="00B91D3D" w:rsidRPr="003A1CF3">
        <w:rPr>
          <w:lang w:val="nl-NL"/>
        </w:rPr>
        <w:t xml:space="preserve">Đa số </w:t>
      </w:r>
      <w:r w:rsidR="00B91D3D">
        <w:rPr>
          <w:lang w:val="nl-NL"/>
        </w:rPr>
        <w:t xml:space="preserve">các HTX không tổ chức Đại hội thành viên thường niên và không báo cáo </w:t>
      </w:r>
      <w:r w:rsidR="00B91D3D" w:rsidRPr="003A1CF3">
        <w:rPr>
          <w:lang w:val="nl-NL"/>
        </w:rPr>
        <w:t xml:space="preserve">tình hình hoạt động của </w:t>
      </w:r>
      <w:r w:rsidR="00B91D3D">
        <w:rPr>
          <w:lang w:val="nl-NL"/>
        </w:rPr>
        <w:t>HTX</w:t>
      </w:r>
      <w:r w:rsidR="00B91D3D" w:rsidRPr="003A1CF3">
        <w:rPr>
          <w:lang w:val="nl-NL"/>
        </w:rPr>
        <w:t xml:space="preserve"> của năm trước đó với cơ quan đăng ký </w:t>
      </w:r>
      <w:r w:rsidR="00B91D3D">
        <w:rPr>
          <w:lang w:val="nl-NL"/>
        </w:rPr>
        <w:t>HTX theo quy định</w:t>
      </w:r>
      <w:r w:rsidR="008D705D">
        <w:rPr>
          <w:lang w:val="nl-NL"/>
        </w:rPr>
        <w:t>.</w:t>
      </w:r>
    </w:p>
    <w:p w14:paraId="49D801FD" w14:textId="03ABF722" w:rsidR="008D705D" w:rsidRDefault="005B5B95" w:rsidP="00BD76E7">
      <w:pPr>
        <w:spacing w:after="60"/>
        <w:ind w:firstLine="567"/>
        <w:rPr>
          <w:iCs/>
          <w:lang w:val="nl-NL"/>
        </w:rPr>
      </w:pPr>
      <w:r>
        <w:rPr>
          <w:lang w:val="nl-NL"/>
        </w:rPr>
        <w:t xml:space="preserve">+ </w:t>
      </w:r>
      <w:r w:rsidR="008D705D">
        <w:rPr>
          <w:lang w:val="nl-NL"/>
        </w:rPr>
        <w:t>Nhiều HTX</w:t>
      </w:r>
      <w:r w:rsidR="008D705D" w:rsidRPr="00992E3B">
        <w:rPr>
          <w:lang w:val="nl-NL"/>
        </w:rPr>
        <w:t xml:space="preserve"> </w:t>
      </w:r>
      <w:r w:rsidR="00546EB9" w:rsidRPr="00992E3B">
        <w:rPr>
          <w:lang w:val="nl-NL"/>
        </w:rPr>
        <w:t xml:space="preserve">thực hiện việc góp vốn </w:t>
      </w:r>
      <w:r w:rsidR="00546EB9" w:rsidRPr="00992E3B">
        <w:rPr>
          <w:iCs/>
          <w:lang w:val="nl-NL"/>
        </w:rPr>
        <w:t xml:space="preserve">điều lệ </w:t>
      </w:r>
      <w:r w:rsidR="00546EB9" w:rsidRPr="00992E3B">
        <w:rPr>
          <w:bCs/>
          <w:lang w:val="nl-NL"/>
        </w:rPr>
        <w:t xml:space="preserve">trên danh nghĩa </w:t>
      </w:r>
      <w:r w:rsidR="00546EB9" w:rsidRPr="00BF3521">
        <w:rPr>
          <w:bCs/>
          <w:i/>
          <w:lang w:val="nl-NL"/>
        </w:rPr>
        <w:t>(</w:t>
      </w:r>
      <w:r w:rsidR="00546EB9" w:rsidRPr="00BF3521">
        <w:rPr>
          <w:i/>
          <w:iCs/>
          <w:lang w:val="nl-NL"/>
        </w:rPr>
        <w:t xml:space="preserve">thể hiện trên giấy chứng nhận góp vốn của các thành viên </w:t>
      </w:r>
      <w:r w:rsidR="00546EB9">
        <w:rPr>
          <w:i/>
          <w:iCs/>
          <w:lang w:val="nl-NL"/>
        </w:rPr>
        <w:t>HTX</w:t>
      </w:r>
      <w:r w:rsidR="00546EB9" w:rsidRPr="00BF3521">
        <w:rPr>
          <w:i/>
          <w:iCs/>
          <w:lang w:val="nl-NL"/>
        </w:rPr>
        <w:t>)</w:t>
      </w:r>
      <w:r w:rsidR="00546EB9">
        <w:rPr>
          <w:iCs/>
          <w:lang w:val="nl-NL"/>
        </w:rPr>
        <w:t>, t</w:t>
      </w:r>
      <w:r w:rsidR="00546EB9" w:rsidRPr="00992E3B">
        <w:rPr>
          <w:iCs/>
          <w:lang w:val="nl-NL"/>
        </w:rPr>
        <w:t xml:space="preserve">hực tế, vốn điều lệ của </w:t>
      </w:r>
      <w:r w:rsidR="00546EB9">
        <w:rPr>
          <w:iCs/>
          <w:lang w:val="nl-NL"/>
        </w:rPr>
        <w:t>HTX</w:t>
      </w:r>
      <w:r w:rsidR="00546EB9" w:rsidRPr="00992E3B">
        <w:rPr>
          <w:iCs/>
          <w:lang w:val="nl-NL"/>
        </w:rPr>
        <w:t xml:space="preserve"> chủ yếu do </w:t>
      </w:r>
      <w:r w:rsidR="00546EB9">
        <w:rPr>
          <w:iCs/>
          <w:lang w:val="nl-NL"/>
        </w:rPr>
        <w:t>2 đến 4</w:t>
      </w:r>
      <w:r w:rsidR="00546EB9" w:rsidRPr="00992E3B">
        <w:rPr>
          <w:iCs/>
          <w:lang w:val="nl-NL"/>
        </w:rPr>
        <w:t xml:space="preserve"> thành viên góp vốn, các thành viên còn lại đóng góp công sức hoặc tài sản</w:t>
      </w:r>
      <w:r w:rsidR="00546EB9" w:rsidRPr="00992E3B">
        <w:rPr>
          <w:rStyle w:val="FootnoteReference"/>
          <w:iCs/>
          <w:lang w:val="nl-NL"/>
        </w:rPr>
        <w:footnoteReference w:id="17"/>
      </w:r>
      <w:r w:rsidR="00546EB9" w:rsidRPr="00992E3B">
        <w:rPr>
          <w:iCs/>
          <w:lang w:val="nl-NL"/>
        </w:rPr>
        <w:t xml:space="preserve"> hoặc chỉ do một thành viên </w:t>
      </w:r>
      <w:r w:rsidR="00546EB9" w:rsidRPr="00992E3B">
        <w:rPr>
          <w:i/>
          <w:iCs/>
          <w:lang w:val="nl-NL"/>
        </w:rPr>
        <w:t>(Giám đốc)</w:t>
      </w:r>
      <w:r w:rsidR="00546EB9" w:rsidRPr="00992E3B">
        <w:rPr>
          <w:iCs/>
          <w:lang w:val="nl-NL"/>
        </w:rPr>
        <w:t xml:space="preserve"> góp vốn</w:t>
      </w:r>
      <w:r w:rsidR="00546EB9" w:rsidRPr="00992E3B">
        <w:rPr>
          <w:rStyle w:val="FootnoteReference"/>
          <w:iCs/>
          <w:lang w:val="nl-NL"/>
        </w:rPr>
        <w:footnoteReference w:id="18"/>
      </w:r>
      <w:r w:rsidR="00546EB9" w:rsidRPr="00992E3B">
        <w:rPr>
          <w:iCs/>
          <w:lang w:val="nl-NL"/>
        </w:rPr>
        <w:t>.</w:t>
      </w:r>
      <w:r w:rsidR="00546EB9">
        <w:rPr>
          <w:iCs/>
          <w:lang w:val="nl-NL"/>
        </w:rPr>
        <w:t xml:space="preserve"> Hoạt động </w:t>
      </w:r>
      <w:r>
        <w:rPr>
          <w:iCs/>
          <w:lang w:val="nl-NL"/>
        </w:rPr>
        <w:t xml:space="preserve">của các HTX được giám sát trực tiếp </w:t>
      </w:r>
      <w:r w:rsidR="0062561D">
        <w:rPr>
          <w:iCs/>
          <w:lang w:val="nl-NL"/>
        </w:rPr>
        <w:t xml:space="preserve">thực chất </w:t>
      </w:r>
      <w:r w:rsidR="00546EB9">
        <w:rPr>
          <w:iCs/>
          <w:lang w:val="nl-NL"/>
        </w:rPr>
        <w:t>là nhóm liên kết, tổ hợp tác để cùng hỗ trợ nhau trong sản xuất, kinh doanh</w:t>
      </w:r>
      <w:r w:rsidR="00263FB8">
        <w:rPr>
          <w:iCs/>
          <w:lang w:val="nl-NL"/>
        </w:rPr>
        <w:t xml:space="preserve"> </w:t>
      </w:r>
      <w:r w:rsidR="00263FB8" w:rsidRPr="00BD76E7">
        <w:rPr>
          <w:i/>
          <w:iCs/>
          <w:lang w:val="nl-NL"/>
        </w:rPr>
        <w:t>(cùng mua chung vật tư, nguyên liệu đầu vào hoặc sử dụng chung dịch vụ làm đất, tưới nước, tiêu thụ sản phẩm... để hạ giá thành)</w:t>
      </w:r>
      <w:r>
        <w:rPr>
          <w:iCs/>
          <w:lang w:val="nl-NL"/>
        </w:rPr>
        <w:t>; không có tài sản sở hữu chung</w:t>
      </w:r>
      <w:r w:rsidR="00546EB9">
        <w:rPr>
          <w:iCs/>
          <w:lang w:val="nl-NL"/>
        </w:rPr>
        <w:t xml:space="preserve"> </w:t>
      </w:r>
      <w:r w:rsidR="00263FB8">
        <w:rPr>
          <w:iCs/>
          <w:lang w:val="nl-NL"/>
        </w:rPr>
        <w:t>do vậy, không thực hiện phân phối thu nhập, quản lý, sử dụng các quỹ của HTX như quy định tại điều 46, 47 của Luật HTX năm 2012.</w:t>
      </w:r>
    </w:p>
    <w:p w14:paraId="03BEAC2A" w14:textId="7C10E525" w:rsidR="00D021D4" w:rsidRDefault="005B5B95" w:rsidP="00BD76E7">
      <w:pPr>
        <w:spacing w:after="60"/>
        <w:ind w:firstLine="567"/>
        <w:rPr>
          <w:iCs/>
          <w:lang w:val="nl-NL"/>
        </w:rPr>
      </w:pPr>
      <w:r>
        <w:rPr>
          <w:iCs/>
          <w:lang w:val="nl-NL"/>
        </w:rPr>
        <w:t xml:space="preserve">+ </w:t>
      </w:r>
      <w:r w:rsidR="00546EB9" w:rsidRPr="00992E3B">
        <w:rPr>
          <w:iCs/>
          <w:lang w:val="nl-NL"/>
        </w:rPr>
        <w:t>Hồ sơ sổ sách</w:t>
      </w:r>
      <w:r w:rsidR="00546EB9">
        <w:rPr>
          <w:iCs/>
          <w:lang w:val="nl-NL"/>
        </w:rPr>
        <w:t xml:space="preserve"> kế toán</w:t>
      </w:r>
      <w:r w:rsidR="00546EB9" w:rsidRPr="00992E3B">
        <w:rPr>
          <w:iCs/>
          <w:lang w:val="nl-NL"/>
        </w:rPr>
        <w:t>,</w:t>
      </w:r>
      <w:r w:rsidR="00546EB9">
        <w:rPr>
          <w:iCs/>
          <w:lang w:val="nl-NL"/>
        </w:rPr>
        <w:t xml:space="preserve"> chứng từ thu chi, </w:t>
      </w:r>
      <w:r w:rsidR="00546EB9" w:rsidRPr="00992E3B">
        <w:rPr>
          <w:iCs/>
          <w:lang w:val="nl-NL"/>
        </w:rPr>
        <w:t xml:space="preserve">tài liệu các kỳ họp, hội nghị </w:t>
      </w:r>
      <w:r w:rsidR="00546EB9">
        <w:rPr>
          <w:iCs/>
          <w:lang w:val="nl-NL"/>
        </w:rPr>
        <w:t>HTX</w:t>
      </w:r>
      <w:r w:rsidR="00546EB9" w:rsidRPr="00992E3B">
        <w:rPr>
          <w:iCs/>
          <w:lang w:val="nl-NL"/>
        </w:rPr>
        <w:t xml:space="preserve">, giấy chứng nhận góp vốn của các thành viên </w:t>
      </w:r>
      <w:r w:rsidR="00546EB9">
        <w:rPr>
          <w:iCs/>
          <w:lang w:val="nl-NL"/>
        </w:rPr>
        <w:t>HTX</w:t>
      </w:r>
      <w:r w:rsidR="00546EB9" w:rsidRPr="00992E3B">
        <w:rPr>
          <w:iCs/>
          <w:lang w:val="nl-NL"/>
        </w:rPr>
        <w:t xml:space="preserve"> chưa thể hiện đầy đủ theo quy định.</w:t>
      </w:r>
    </w:p>
    <w:p w14:paraId="2862324A" w14:textId="2D812FBD" w:rsidR="00546EB9" w:rsidRDefault="005B5B95" w:rsidP="00BD76E7">
      <w:pPr>
        <w:spacing w:after="60"/>
        <w:ind w:firstLine="567"/>
        <w:rPr>
          <w:lang w:val="zu-ZA"/>
        </w:rPr>
      </w:pPr>
      <w:r>
        <w:rPr>
          <w:lang w:val="nl-NL"/>
        </w:rPr>
        <w:t xml:space="preserve">+ </w:t>
      </w:r>
      <w:r w:rsidR="00407BEF">
        <w:rPr>
          <w:lang w:val="nl-NL"/>
        </w:rPr>
        <w:t>P</w:t>
      </w:r>
      <w:r w:rsidR="006C1E8C" w:rsidRPr="00AE4B5C">
        <w:rPr>
          <w:lang w:val="nl-NL"/>
        </w:rPr>
        <w:t xml:space="preserve">hần lớn HTX vận tải vận hành theo mô hình cung ứng dịch vụ vận tải; </w:t>
      </w:r>
      <w:r w:rsidR="00407BEF">
        <w:rPr>
          <w:lang w:val="nl-NL"/>
        </w:rPr>
        <w:t xml:space="preserve">HTX không chủ động tìm kiếm nguồn hàng, tìm kiếm cơ hội hợp tác kinh doanh, </w:t>
      </w:r>
      <w:r w:rsidR="006C1E8C" w:rsidRPr="00AE4B5C">
        <w:rPr>
          <w:lang w:val="nl-NL"/>
        </w:rPr>
        <w:t xml:space="preserve">chỉ đảm nhiệm công việc hỗ trợ hoàn thiện các thủ tục pháp lý cho xã viên đủ điều kiện đưa phương tiện </w:t>
      </w:r>
      <w:r w:rsidR="006C1E8C" w:rsidRPr="00AE4B5C">
        <w:rPr>
          <w:i/>
          <w:lang w:val="nl-NL"/>
        </w:rPr>
        <w:t>(là tài sản riêng của xã viên)</w:t>
      </w:r>
      <w:r w:rsidR="006C1E8C" w:rsidRPr="00AE4B5C">
        <w:rPr>
          <w:lang w:val="nl-NL"/>
        </w:rPr>
        <w:t xml:space="preserve"> vào tham gia hoạt động kinh doanh vận tải; thành viên góp tài sản </w:t>
      </w:r>
      <w:r w:rsidR="006C1E8C" w:rsidRPr="00AE4B5C">
        <w:rPr>
          <w:i/>
          <w:lang w:val="nl-NL"/>
        </w:rPr>
        <w:t>(phương tiện)</w:t>
      </w:r>
      <w:r w:rsidR="006C1E8C" w:rsidRPr="00AE4B5C">
        <w:rPr>
          <w:lang w:val="nl-NL"/>
        </w:rPr>
        <w:t xml:space="preserve"> vào HTX nhưng lại tự quản lý tài sản, có trường hợp tự tìm đối tác để kinh doanh </w:t>
      </w:r>
      <w:r w:rsidR="006C1E8C" w:rsidRPr="00AE4B5C">
        <w:rPr>
          <w:i/>
          <w:lang w:val="nl-NL"/>
        </w:rPr>
        <w:t>(theo hợp đồng)</w:t>
      </w:r>
      <w:r w:rsidR="004A3DB1">
        <w:rPr>
          <w:lang w:val="nl-NL"/>
        </w:rPr>
        <w:t>. V</w:t>
      </w:r>
      <w:r w:rsidR="006C1E8C" w:rsidRPr="00AE4B5C">
        <w:rPr>
          <w:lang w:val="nl-NL"/>
        </w:rPr>
        <w:t>ì vậy giữa HTX với thành viên không có sự gắn kết</w:t>
      </w:r>
      <w:r w:rsidR="00407BEF">
        <w:rPr>
          <w:lang w:val="nl-NL"/>
        </w:rPr>
        <w:t xml:space="preserve"> và</w:t>
      </w:r>
      <w:r w:rsidR="006C1E8C" w:rsidRPr="00AE4B5C">
        <w:rPr>
          <w:lang w:val="nl-NL"/>
        </w:rPr>
        <w:t xml:space="preserve"> thiếu tính bền vững</w:t>
      </w:r>
      <w:r w:rsidR="004A3DB1">
        <w:rPr>
          <w:lang w:val="nl-NL"/>
        </w:rPr>
        <w:t>;</w:t>
      </w:r>
      <w:r w:rsidR="006C1E8C" w:rsidRPr="00AE4B5C">
        <w:rPr>
          <w:lang w:val="nl-NL"/>
        </w:rPr>
        <w:t xml:space="preserve"> HTX không có doanh thu, hàng năm </w:t>
      </w:r>
      <w:r w:rsidR="00407BEF">
        <w:rPr>
          <w:lang w:val="nl-NL"/>
        </w:rPr>
        <w:t xml:space="preserve">chỉ </w:t>
      </w:r>
      <w:r w:rsidR="006C1E8C" w:rsidRPr="00AE4B5C">
        <w:rPr>
          <w:lang w:val="nl-NL"/>
        </w:rPr>
        <w:t xml:space="preserve">thu phí dịch vụ </w:t>
      </w:r>
      <w:r w:rsidR="006C1E8C" w:rsidRPr="00AE4B5C">
        <w:rPr>
          <w:i/>
          <w:lang w:val="nl-NL"/>
        </w:rPr>
        <w:t>(do xã viên đóng góp)</w:t>
      </w:r>
      <w:r w:rsidR="006C1E8C" w:rsidRPr="00AE4B5C">
        <w:rPr>
          <w:lang w:val="nl-NL"/>
        </w:rPr>
        <w:t xml:space="preserve"> </w:t>
      </w:r>
      <w:r w:rsidR="00407BEF">
        <w:rPr>
          <w:lang w:val="nl-NL"/>
        </w:rPr>
        <w:t xml:space="preserve"> và số kinh phí này cũng </w:t>
      </w:r>
      <w:r w:rsidR="006C1E8C" w:rsidRPr="00AE4B5C">
        <w:rPr>
          <w:lang w:val="nl-NL"/>
        </w:rPr>
        <w:t>chỉ đủ chi phí cho hoạt động</w:t>
      </w:r>
      <w:r w:rsidR="00407BEF">
        <w:rPr>
          <w:lang w:val="nl-NL"/>
        </w:rPr>
        <w:t xml:space="preserve"> của lãnh đạo</w:t>
      </w:r>
      <w:r w:rsidR="006C1E8C" w:rsidRPr="00AE4B5C">
        <w:rPr>
          <w:lang w:val="nl-NL"/>
        </w:rPr>
        <w:t xml:space="preserve"> HTX và </w:t>
      </w:r>
      <w:r w:rsidR="00407BEF">
        <w:rPr>
          <w:lang w:val="nl-NL"/>
        </w:rPr>
        <w:t xml:space="preserve">bộ phận </w:t>
      </w:r>
      <w:r w:rsidR="006C1E8C" w:rsidRPr="00AE4B5C">
        <w:rPr>
          <w:lang w:val="nl-NL"/>
        </w:rPr>
        <w:t>văn phòng.</w:t>
      </w:r>
    </w:p>
    <w:p w14:paraId="3A635065" w14:textId="47652FE5" w:rsidR="00B33770" w:rsidRDefault="00B91D3D" w:rsidP="00BD76E7">
      <w:pPr>
        <w:spacing w:after="60"/>
        <w:ind w:firstLine="567"/>
        <w:rPr>
          <w:b/>
          <w:bCs/>
          <w:lang w:val="nl-NL"/>
        </w:rPr>
      </w:pPr>
      <w:r w:rsidRPr="00992E3B">
        <w:rPr>
          <w:lang w:val="nl-NL"/>
        </w:rPr>
        <w:t xml:space="preserve">- </w:t>
      </w:r>
      <w:r>
        <w:rPr>
          <w:iCs/>
          <w:lang w:val="nl-NL"/>
        </w:rPr>
        <w:t>Nhiều</w:t>
      </w:r>
      <w:r w:rsidRPr="00992E3B">
        <w:rPr>
          <w:iCs/>
          <w:lang w:val="nl-NL"/>
        </w:rPr>
        <w:t xml:space="preserve"> </w:t>
      </w:r>
      <w:r w:rsidR="00C572F6">
        <w:rPr>
          <w:iCs/>
          <w:lang w:val="nl-NL"/>
        </w:rPr>
        <w:t>HTX</w:t>
      </w:r>
      <w:r w:rsidRPr="00992E3B">
        <w:rPr>
          <w:iCs/>
          <w:lang w:val="nl-NL"/>
        </w:rPr>
        <w:t xml:space="preserve"> </w:t>
      </w:r>
      <w:r w:rsidR="00FD388F">
        <w:rPr>
          <w:iCs/>
          <w:lang w:val="nl-NL"/>
        </w:rPr>
        <w:t xml:space="preserve">nông nghiệp </w:t>
      </w:r>
      <w:r w:rsidRPr="00992E3B">
        <w:rPr>
          <w:iCs/>
          <w:lang w:val="nl-NL"/>
        </w:rPr>
        <w:t xml:space="preserve">chưa </w:t>
      </w:r>
      <w:r w:rsidR="00FD388F">
        <w:rPr>
          <w:iCs/>
          <w:lang w:val="nl-NL"/>
        </w:rPr>
        <w:t xml:space="preserve">thuê được </w:t>
      </w:r>
      <w:r w:rsidRPr="00992E3B">
        <w:rPr>
          <w:iCs/>
          <w:lang w:val="nl-NL"/>
        </w:rPr>
        <w:t xml:space="preserve">đất để xây dựng trụ sở làm việc, nhà xưởng </w:t>
      </w:r>
      <w:r w:rsidR="00263FB8">
        <w:rPr>
          <w:iCs/>
          <w:lang w:val="nl-NL"/>
        </w:rPr>
        <w:t xml:space="preserve">để </w:t>
      </w:r>
      <w:r w:rsidRPr="00992E3B">
        <w:rPr>
          <w:iCs/>
          <w:lang w:val="nl-NL"/>
        </w:rPr>
        <w:t>sản xuất, kinh doanh các ngành nghề đã đăng ký</w:t>
      </w:r>
      <w:r w:rsidR="00FD388F">
        <w:rPr>
          <w:iCs/>
          <w:lang w:val="nl-NL"/>
        </w:rPr>
        <w:t xml:space="preserve">. Có HTX </w:t>
      </w:r>
      <w:r w:rsidRPr="00992E3B">
        <w:rPr>
          <w:iCs/>
          <w:lang w:val="nl-NL"/>
        </w:rPr>
        <w:t xml:space="preserve">mượn nhà, đất của thành viên </w:t>
      </w:r>
      <w:r w:rsidR="00C572F6">
        <w:rPr>
          <w:iCs/>
          <w:lang w:val="nl-NL"/>
        </w:rPr>
        <w:t>HTX</w:t>
      </w:r>
      <w:r w:rsidRPr="00992E3B">
        <w:rPr>
          <w:iCs/>
          <w:lang w:val="nl-NL"/>
        </w:rPr>
        <w:t xml:space="preserve"> hoặc mượn trụ sở doanh nghiệp</w:t>
      </w:r>
      <w:r w:rsidRPr="00992E3B">
        <w:rPr>
          <w:rStyle w:val="FootnoteReference"/>
          <w:iCs/>
          <w:lang w:val="nl-NL"/>
        </w:rPr>
        <w:footnoteReference w:id="19"/>
      </w:r>
      <w:r w:rsidRPr="00992E3B">
        <w:rPr>
          <w:iCs/>
          <w:lang w:val="nl-NL"/>
        </w:rPr>
        <w:t>, trụ sở hành chính cũ (</w:t>
      </w:r>
      <w:r w:rsidRPr="00992E3B">
        <w:rPr>
          <w:i/>
          <w:iCs/>
          <w:lang w:val="nl-NL"/>
        </w:rPr>
        <w:t>như: hội trường thôn</w:t>
      </w:r>
      <w:r w:rsidRPr="00992E3B">
        <w:rPr>
          <w:rStyle w:val="FootnoteReference"/>
          <w:i/>
          <w:iCs/>
          <w:lang w:val="nl-NL"/>
        </w:rPr>
        <w:footnoteReference w:id="20"/>
      </w:r>
      <w:r w:rsidRPr="00992E3B">
        <w:rPr>
          <w:i/>
          <w:iCs/>
          <w:lang w:val="nl-NL"/>
        </w:rPr>
        <w:t>, Trạm kiểm soát biên phòng cũ</w:t>
      </w:r>
      <w:r w:rsidRPr="00992E3B">
        <w:rPr>
          <w:rStyle w:val="FootnoteReference"/>
          <w:i/>
          <w:iCs/>
          <w:lang w:val="nl-NL"/>
        </w:rPr>
        <w:footnoteReference w:id="21"/>
      </w:r>
      <w:r w:rsidRPr="00992E3B">
        <w:rPr>
          <w:i/>
          <w:iCs/>
          <w:lang w:val="nl-NL"/>
        </w:rPr>
        <w:t>)</w:t>
      </w:r>
      <w:r w:rsidRPr="00992E3B">
        <w:rPr>
          <w:iCs/>
          <w:lang w:val="nl-NL"/>
        </w:rPr>
        <w:t xml:space="preserve"> để làm trụ sở</w:t>
      </w:r>
      <w:r w:rsidR="00263FB8">
        <w:rPr>
          <w:iCs/>
          <w:lang w:val="nl-NL"/>
        </w:rPr>
        <w:t xml:space="preserve">, </w:t>
      </w:r>
      <w:r w:rsidRPr="00992E3B">
        <w:rPr>
          <w:iCs/>
          <w:lang w:val="nl-NL"/>
        </w:rPr>
        <w:t xml:space="preserve">đặt bảng hiệu </w:t>
      </w:r>
      <w:r w:rsidR="00C572F6">
        <w:rPr>
          <w:iCs/>
          <w:lang w:val="nl-NL"/>
        </w:rPr>
        <w:t>HTX</w:t>
      </w:r>
      <w:r w:rsidRPr="00992E3B">
        <w:rPr>
          <w:iCs/>
          <w:lang w:val="nl-NL"/>
        </w:rPr>
        <w:t xml:space="preserve">.  Một số </w:t>
      </w:r>
      <w:r w:rsidR="00C572F6">
        <w:rPr>
          <w:iCs/>
          <w:lang w:val="nl-NL"/>
        </w:rPr>
        <w:t>HTX</w:t>
      </w:r>
      <w:r w:rsidRPr="00992E3B">
        <w:rPr>
          <w:rStyle w:val="FootnoteReference"/>
          <w:iCs/>
          <w:lang w:val="nl-NL"/>
        </w:rPr>
        <w:footnoteReference w:id="22"/>
      </w:r>
      <w:r w:rsidRPr="00992E3B">
        <w:rPr>
          <w:iCs/>
          <w:lang w:val="nl-NL"/>
        </w:rPr>
        <w:t xml:space="preserve"> chưa có mặt bằng để phục vụ cho hoạt động sản </w:t>
      </w:r>
      <w:r w:rsidRPr="00992E3B">
        <w:rPr>
          <w:iCs/>
          <w:lang w:val="nl-NL"/>
        </w:rPr>
        <w:lastRenderedPageBreak/>
        <w:t xml:space="preserve">xuất, kinh doanh </w:t>
      </w:r>
      <w:r w:rsidRPr="00992E3B">
        <w:rPr>
          <w:i/>
          <w:iCs/>
          <w:lang w:val="nl-NL"/>
        </w:rPr>
        <w:t xml:space="preserve">(sân phơi, nhà kho, nhà xưởng chế biến, </w:t>
      </w:r>
      <w:r w:rsidRPr="00992E3B">
        <w:rPr>
          <w:i/>
          <w:lang w:val="nl-NL"/>
        </w:rPr>
        <w:t>địa điểm tập kết thu mua nông sản…).</w:t>
      </w:r>
      <w:r w:rsidRPr="00992E3B">
        <w:rPr>
          <w:iCs/>
          <w:lang w:val="nl-NL"/>
        </w:rPr>
        <w:t xml:space="preserve"> Một số </w:t>
      </w:r>
      <w:r w:rsidR="00C572F6">
        <w:rPr>
          <w:iCs/>
          <w:lang w:val="nl-NL"/>
        </w:rPr>
        <w:t>HTX</w:t>
      </w:r>
      <w:r w:rsidRPr="00992E3B">
        <w:rPr>
          <w:iCs/>
          <w:lang w:val="nl-NL"/>
        </w:rPr>
        <w:t xml:space="preserve"> không có bảng hiệu </w:t>
      </w:r>
      <w:r w:rsidR="00C572F6">
        <w:rPr>
          <w:iCs/>
          <w:lang w:val="nl-NL"/>
        </w:rPr>
        <w:t>HTX</w:t>
      </w:r>
      <w:r w:rsidRPr="00992E3B">
        <w:rPr>
          <w:rStyle w:val="FootnoteReference"/>
          <w:iCs/>
          <w:lang w:val="nl-NL"/>
        </w:rPr>
        <w:footnoteReference w:id="23"/>
      </w:r>
      <w:r w:rsidRPr="00992E3B">
        <w:rPr>
          <w:iCs/>
          <w:lang w:val="nl-NL"/>
        </w:rPr>
        <w:t>.</w:t>
      </w:r>
      <w:r w:rsidR="00B33770">
        <w:rPr>
          <w:b/>
          <w:bCs/>
          <w:lang w:val="nl-NL"/>
        </w:rPr>
        <w:t xml:space="preserve"> </w:t>
      </w:r>
    </w:p>
    <w:p w14:paraId="1C4A5733" w14:textId="27541C69" w:rsidR="00DD0D13" w:rsidRDefault="00DD0D13" w:rsidP="00BD76E7">
      <w:pPr>
        <w:spacing w:after="60"/>
        <w:ind w:firstLine="567"/>
        <w:rPr>
          <w:lang w:val="nl-NL"/>
        </w:rPr>
      </w:pPr>
      <w:r w:rsidRPr="00992E3B">
        <w:rPr>
          <w:bCs/>
          <w:lang w:val="nl-NL"/>
        </w:rPr>
        <w:t xml:space="preserve">- </w:t>
      </w:r>
      <w:r w:rsidRPr="00DD0D13">
        <w:rPr>
          <w:lang w:val="nl-NL"/>
        </w:rPr>
        <w:t>N</w:t>
      </w:r>
      <w:r w:rsidRPr="00992E3B">
        <w:rPr>
          <w:lang w:val="vi-VN"/>
        </w:rPr>
        <w:t xml:space="preserve">guồn vốn nội tại </w:t>
      </w:r>
      <w:r w:rsidRPr="00DD0D13">
        <w:rPr>
          <w:lang w:val="nl-NL"/>
        </w:rPr>
        <w:t xml:space="preserve">của </w:t>
      </w:r>
      <w:r>
        <w:rPr>
          <w:lang w:val="nl-NL"/>
        </w:rPr>
        <w:t>HTX</w:t>
      </w:r>
      <w:r w:rsidRPr="00DD0D13">
        <w:rPr>
          <w:lang w:val="nl-NL"/>
        </w:rPr>
        <w:t xml:space="preserve"> </w:t>
      </w:r>
      <w:r w:rsidRPr="00992E3B">
        <w:rPr>
          <w:lang w:val="vi-VN"/>
        </w:rPr>
        <w:t xml:space="preserve">còn </w:t>
      </w:r>
      <w:r w:rsidR="00A301A0" w:rsidRPr="00992E3B">
        <w:rPr>
          <w:lang w:val="vi-VN"/>
        </w:rPr>
        <w:t>thấp</w:t>
      </w:r>
      <w:r w:rsidR="00A301A0" w:rsidRPr="00DD0D13">
        <w:rPr>
          <w:lang w:val="nl-NL"/>
        </w:rPr>
        <w:t xml:space="preserve">; </w:t>
      </w:r>
      <w:r w:rsidR="00A301A0">
        <w:rPr>
          <w:lang w:val="nl-NL"/>
        </w:rPr>
        <w:t>không đủ điều kiện về tài sản hoặc năng lực sản xuất, kinh doanh để vay vốn các tổ chức tín dụng</w:t>
      </w:r>
      <w:r w:rsidR="00A301A0" w:rsidRPr="00DD0D13">
        <w:rPr>
          <w:lang w:val="nl-NL"/>
        </w:rPr>
        <w:t>;</w:t>
      </w:r>
      <w:r w:rsidRPr="00DD0D13">
        <w:rPr>
          <w:lang w:val="nl-NL"/>
        </w:rPr>
        <w:t xml:space="preserve"> còn </w:t>
      </w:r>
      <w:r w:rsidRPr="00992E3B">
        <w:rPr>
          <w:lang w:val="vi-VN"/>
        </w:rPr>
        <w:t>hạn chế trong quản trị, năng lực tổ chức quản lý điều hành</w:t>
      </w:r>
      <w:r w:rsidRPr="00DD0D13">
        <w:rPr>
          <w:lang w:val="nl-NL"/>
        </w:rPr>
        <w:t xml:space="preserve">; </w:t>
      </w:r>
      <w:r w:rsidRPr="00992E3B">
        <w:rPr>
          <w:lang w:val="vi-VN"/>
        </w:rPr>
        <w:t>đầu tư khoa học và công nghệ trong sản xuất còn thấp, quy mô nhỏ lẻ, manh mún</w:t>
      </w:r>
      <w:r w:rsidRPr="00DD0D13">
        <w:rPr>
          <w:lang w:val="nl-NL"/>
        </w:rPr>
        <w:t>. Đ</w:t>
      </w:r>
      <w:r w:rsidRPr="00992E3B">
        <w:rPr>
          <w:lang w:val="vi-VN"/>
        </w:rPr>
        <w:t xml:space="preserve">a số các </w:t>
      </w:r>
      <w:r w:rsidR="00C572F6">
        <w:rPr>
          <w:lang w:val="nl-NL"/>
        </w:rPr>
        <w:t>HTX</w:t>
      </w:r>
      <w:r w:rsidRPr="00992E3B">
        <w:rPr>
          <w:lang w:val="vi-VN"/>
        </w:rPr>
        <w:t xml:space="preserve"> </w:t>
      </w:r>
      <w:r w:rsidRPr="00DD0D13">
        <w:rPr>
          <w:lang w:val="nl-NL"/>
        </w:rPr>
        <w:t xml:space="preserve">chưa </w:t>
      </w:r>
      <w:r w:rsidRPr="00992E3B">
        <w:rPr>
          <w:iCs/>
          <w:lang w:val="nl-NL"/>
        </w:rPr>
        <w:t xml:space="preserve">xác định được ngành nghề mũi nhọn, chủ lực để đầu tư sản xuất, kinh doanh; chưa xây dựng phương án sản xuất kinh doanh hiệu quả </w:t>
      </w:r>
      <w:r w:rsidRPr="00992E3B">
        <w:rPr>
          <w:bdr w:val="none" w:sz="0" w:space="0" w:color="auto" w:frame="1"/>
          <w:lang w:val="zu-ZA"/>
        </w:rPr>
        <w:t xml:space="preserve">dẫn đến hạn chế trong việc mở rộng ngành nghề, đa dạng hoá sản phẩm </w:t>
      </w:r>
      <w:r w:rsidR="004E4F08">
        <w:rPr>
          <w:bdr w:val="none" w:sz="0" w:space="0" w:color="auto" w:frame="1"/>
          <w:lang w:val="zu-ZA"/>
        </w:rPr>
        <w:t>nhằm đáp ứng yêu cầu của</w:t>
      </w:r>
      <w:r w:rsidRPr="00992E3B">
        <w:rPr>
          <w:bdr w:val="none" w:sz="0" w:space="0" w:color="auto" w:frame="1"/>
          <w:lang w:val="zu-ZA"/>
        </w:rPr>
        <w:t xml:space="preserve"> thị trường</w:t>
      </w:r>
      <w:r w:rsidRPr="00DD0D13">
        <w:rPr>
          <w:lang w:val="nl-NL"/>
        </w:rPr>
        <w:t xml:space="preserve"> và tiếp cận các chính sách hỗ trợ, ưu đãi của Nhà nước.</w:t>
      </w:r>
    </w:p>
    <w:p w14:paraId="49B6DC7D" w14:textId="12A6ABF3" w:rsidR="00DD0D13" w:rsidRDefault="00DD0D13" w:rsidP="00BD76E7">
      <w:pPr>
        <w:spacing w:after="60"/>
        <w:ind w:firstLine="567"/>
        <w:rPr>
          <w:iCs/>
          <w:lang w:val="nl-NL"/>
        </w:rPr>
      </w:pPr>
      <w:r w:rsidRPr="00DD0D13">
        <w:rPr>
          <w:lang w:val="nl-NL"/>
        </w:rPr>
        <w:t xml:space="preserve">- </w:t>
      </w:r>
      <w:r w:rsidR="002B3351">
        <w:rPr>
          <w:lang w:val="nl-NL"/>
        </w:rPr>
        <w:t>Hầu hết các</w:t>
      </w:r>
      <w:r w:rsidRPr="00CB3970">
        <w:rPr>
          <w:lang w:val="nl-NL"/>
        </w:rPr>
        <w:t xml:space="preserve"> </w:t>
      </w:r>
      <w:r w:rsidR="00C572F6" w:rsidRPr="00CB3970">
        <w:rPr>
          <w:lang w:val="nl-NL"/>
        </w:rPr>
        <w:t>HTX</w:t>
      </w:r>
      <w:r w:rsidRPr="00CB3970">
        <w:rPr>
          <w:lang w:val="nl-NL"/>
        </w:rPr>
        <w:t xml:space="preserve"> mới triển khai từ 1 đến </w:t>
      </w:r>
      <w:r w:rsidR="00251F51">
        <w:rPr>
          <w:lang w:val="nl-NL"/>
        </w:rPr>
        <w:t>5</w:t>
      </w:r>
      <w:r w:rsidRPr="00CB3970">
        <w:rPr>
          <w:lang w:val="nl-NL"/>
        </w:rPr>
        <w:t xml:space="preserve"> ngành nghề đăng ký</w:t>
      </w:r>
      <w:r w:rsidRPr="00CB3970">
        <w:rPr>
          <w:rStyle w:val="FootnoteReference"/>
        </w:rPr>
        <w:footnoteReference w:id="24"/>
      </w:r>
      <w:r w:rsidRPr="00CB3970">
        <w:rPr>
          <w:lang w:val="nl-NL"/>
        </w:rPr>
        <w:t xml:space="preserve">; </w:t>
      </w:r>
      <w:r w:rsidR="00CB3970" w:rsidRPr="00BD76E7">
        <w:rPr>
          <w:lang w:val="nl-NL"/>
        </w:rPr>
        <w:t xml:space="preserve">Có HTX </w:t>
      </w:r>
      <w:r w:rsidRPr="00CB3970">
        <w:rPr>
          <w:iCs/>
          <w:lang w:val="nl-NL"/>
        </w:rPr>
        <w:t xml:space="preserve">sản xuất kinh doanh ngoài danh mục ngành nghề </w:t>
      </w:r>
      <w:r w:rsidR="00CB3970">
        <w:rPr>
          <w:iCs/>
          <w:lang w:val="nl-NL"/>
        </w:rPr>
        <w:t xml:space="preserve">đã </w:t>
      </w:r>
      <w:r w:rsidR="00CB3970" w:rsidRPr="00BD76E7">
        <w:rPr>
          <w:iCs/>
          <w:lang w:val="nl-NL"/>
        </w:rPr>
        <w:t>đăng ký</w:t>
      </w:r>
      <w:r w:rsidRPr="00CB3970">
        <w:rPr>
          <w:rStyle w:val="FootnoteReference"/>
          <w:iCs/>
          <w:lang w:val="nl-NL"/>
        </w:rPr>
        <w:footnoteReference w:id="25"/>
      </w:r>
      <w:r w:rsidRPr="00CB3970">
        <w:rPr>
          <w:iCs/>
          <w:lang w:val="nl-NL"/>
        </w:rPr>
        <w:t>.</w:t>
      </w:r>
    </w:p>
    <w:p w14:paraId="5FE4BBE3" w14:textId="5FB31EE7" w:rsidR="00CA27D2" w:rsidRPr="00640FDE" w:rsidRDefault="00EA359E" w:rsidP="00BD76E7">
      <w:pPr>
        <w:spacing w:after="60"/>
        <w:ind w:firstLine="567"/>
        <w:rPr>
          <w:b/>
          <w:bCs/>
          <w:lang w:val="nl-NL"/>
        </w:rPr>
      </w:pPr>
      <w:r>
        <w:rPr>
          <w:b/>
          <w:bCs/>
          <w:lang w:val="nl-NL"/>
        </w:rPr>
        <w:t>2</w:t>
      </w:r>
      <w:r w:rsidR="00CA27D2" w:rsidRPr="00640FDE">
        <w:rPr>
          <w:b/>
          <w:bCs/>
          <w:lang w:val="nl-NL"/>
        </w:rPr>
        <w:t xml:space="preserve">. Nguyên nhân </w:t>
      </w:r>
    </w:p>
    <w:p w14:paraId="6508D578" w14:textId="3CD951F5" w:rsidR="00CA27D2" w:rsidRPr="009F3102" w:rsidRDefault="001754C3" w:rsidP="00BD76E7">
      <w:pPr>
        <w:spacing w:after="60"/>
        <w:ind w:firstLine="567"/>
        <w:rPr>
          <w:b/>
          <w:bCs/>
          <w:i/>
          <w:lang w:val="nl-NL"/>
        </w:rPr>
      </w:pPr>
      <w:r>
        <w:rPr>
          <w:b/>
          <w:bCs/>
          <w:i/>
          <w:lang w:val="nl-NL"/>
        </w:rPr>
        <w:t>2</w:t>
      </w:r>
      <w:r w:rsidR="00CA27D2" w:rsidRPr="009F3102">
        <w:rPr>
          <w:b/>
          <w:bCs/>
          <w:i/>
          <w:lang w:val="nl-NL"/>
        </w:rPr>
        <w:t>.1. Nguyên nhân chủ quan</w:t>
      </w:r>
    </w:p>
    <w:p w14:paraId="1C316B1A" w14:textId="6647C3E7" w:rsidR="00D80EEF" w:rsidRDefault="004E4F08" w:rsidP="00BD76E7">
      <w:pPr>
        <w:spacing w:after="60"/>
        <w:ind w:firstLine="567"/>
        <w:rPr>
          <w:lang w:val="nl-NL"/>
        </w:rPr>
      </w:pPr>
      <w:r w:rsidRPr="000B18DD">
        <w:rPr>
          <w:lang w:val="nl-NL"/>
        </w:rPr>
        <w:t xml:space="preserve">- </w:t>
      </w:r>
      <w:r>
        <w:rPr>
          <w:lang w:val="nl-NL"/>
        </w:rPr>
        <w:t>C</w:t>
      </w:r>
      <w:r w:rsidRPr="000B18DD">
        <w:rPr>
          <w:lang w:val="nl-NL"/>
        </w:rPr>
        <w:t>ấp ủy</w:t>
      </w:r>
      <w:r>
        <w:rPr>
          <w:lang w:val="nl-NL"/>
        </w:rPr>
        <w:t>,</w:t>
      </w:r>
      <w:r w:rsidRPr="000B18DD">
        <w:rPr>
          <w:lang w:val="nl-NL"/>
        </w:rPr>
        <w:t xml:space="preserve"> chính quyền </w:t>
      </w:r>
      <w:r>
        <w:rPr>
          <w:lang w:val="nl-NL"/>
        </w:rPr>
        <w:t xml:space="preserve">các cấp ở một số địa phương </w:t>
      </w:r>
      <w:r w:rsidRPr="000B18DD">
        <w:rPr>
          <w:lang w:val="nl-NL"/>
        </w:rPr>
        <w:t>nhận thức chưa đầy đủ</w:t>
      </w:r>
      <w:r>
        <w:rPr>
          <w:lang w:val="nl-NL"/>
        </w:rPr>
        <w:t>, chưa sâu sắc</w:t>
      </w:r>
      <w:r w:rsidRPr="000B18DD">
        <w:rPr>
          <w:lang w:val="nl-NL"/>
        </w:rPr>
        <w:t xml:space="preserve"> về ý nghĩa và tầm quan trọng của </w:t>
      </w:r>
      <w:r>
        <w:rPr>
          <w:lang w:val="nl-NL"/>
        </w:rPr>
        <w:t xml:space="preserve">việc </w:t>
      </w:r>
      <w:r w:rsidRPr="000B18DD">
        <w:rPr>
          <w:lang w:val="nl-NL"/>
        </w:rPr>
        <w:t xml:space="preserve">phát triển </w:t>
      </w:r>
      <w:r>
        <w:rPr>
          <w:lang w:val="nl-NL"/>
        </w:rPr>
        <w:t xml:space="preserve">KTTT, HTX nên chưa có sự quan tâm </w:t>
      </w:r>
      <w:r w:rsidRPr="000B18DD">
        <w:rPr>
          <w:lang w:val="nl-NL"/>
        </w:rPr>
        <w:t>đúng mức</w:t>
      </w:r>
      <w:r>
        <w:rPr>
          <w:lang w:val="nl-NL"/>
        </w:rPr>
        <w:t>. C</w:t>
      </w:r>
      <w:r w:rsidRPr="000B18DD">
        <w:rPr>
          <w:lang w:val="nl-NL"/>
        </w:rPr>
        <w:t xml:space="preserve">ông tác </w:t>
      </w:r>
      <w:r>
        <w:rPr>
          <w:lang w:val="nl-NL"/>
        </w:rPr>
        <w:t xml:space="preserve">phối hợp trong </w:t>
      </w:r>
      <w:r w:rsidRPr="000B18DD">
        <w:rPr>
          <w:lang w:val="nl-NL"/>
        </w:rPr>
        <w:t>quản lý nhà nước giữa các ngành</w:t>
      </w:r>
      <w:r>
        <w:rPr>
          <w:lang w:val="nl-NL"/>
        </w:rPr>
        <w:t xml:space="preserve"> cấp tỉnh và cấp </w:t>
      </w:r>
      <w:r w:rsidRPr="000B18DD">
        <w:rPr>
          <w:lang w:val="nl-NL"/>
        </w:rPr>
        <w:t>huyện</w:t>
      </w:r>
      <w:r>
        <w:rPr>
          <w:lang w:val="nl-NL"/>
        </w:rPr>
        <w:t xml:space="preserve"> </w:t>
      </w:r>
      <w:r w:rsidRPr="000B18DD">
        <w:rPr>
          <w:lang w:val="nl-NL"/>
        </w:rPr>
        <w:t>chưa đồng bộ</w:t>
      </w:r>
      <w:r>
        <w:rPr>
          <w:lang w:val="nl-NL"/>
        </w:rPr>
        <w:t>. M</w:t>
      </w:r>
      <w:r w:rsidRPr="000B18DD">
        <w:rPr>
          <w:lang w:val="nl-NL"/>
        </w:rPr>
        <w:t>ột số khó khăn</w:t>
      </w:r>
      <w:r>
        <w:rPr>
          <w:lang w:val="nl-NL"/>
        </w:rPr>
        <w:t>,</w:t>
      </w:r>
      <w:r w:rsidRPr="000B18DD">
        <w:rPr>
          <w:lang w:val="nl-NL"/>
        </w:rPr>
        <w:t xml:space="preserve"> vướng mắc của HTX chưa được giải quyết kịp thời.</w:t>
      </w:r>
    </w:p>
    <w:p w14:paraId="24C22F6A" w14:textId="1921B1BC" w:rsidR="00A128EE" w:rsidRPr="00BD76E7" w:rsidRDefault="00A128EE" w:rsidP="00BD76E7">
      <w:pPr>
        <w:spacing w:after="60"/>
        <w:ind w:firstLine="567"/>
        <w:rPr>
          <w:color w:val="000000"/>
          <w:u w:val="single"/>
          <w:lang w:val="nl-NL"/>
        </w:rPr>
      </w:pPr>
      <w:r w:rsidRPr="00A128EE">
        <w:rPr>
          <w:color w:val="000000"/>
          <w:lang w:val="nl-NL"/>
        </w:rPr>
        <w:t xml:space="preserve">- </w:t>
      </w:r>
      <w:r w:rsidRPr="00983652">
        <w:rPr>
          <w:color w:val="000000"/>
          <w:lang w:val="nl-NL"/>
        </w:rPr>
        <w:t>Đội ngũ cán</w:t>
      </w:r>
      <w:r w:rsidRPr="00992E3B">
        <w:rPr>
          <w:color w:val="000000"/>
          <w:lang w:val="nl-NL"/>
        </w:rPr>
        <w:t xml:space="preserve"> bộ quản lý Nhà nước về kinh tế tập thể còn </w:t>
      </w:r>
      <w:r w:rsidRPr="002B3351">
        <w:rPr>
          <w:color w:val="000000"/>
          <w:lang w:val="nl-NL"/>
        </w:rPr>
        <w:t>hạn chế v</w:t>
      </w:r>
      <w:r w:rsidRPr="00251F51">
        <w:rPr>
          <w:color w:val="000000"/>
          <w:lang w:val="nl-NL"/>
        </w:rPr>
        <w:t>ề s</w:t>
      </w:r>
      <w:r w:rsidRPr="002B3351">
        <w:rPr>
          <w:color w:val="000000"/>
          <w:lang w:val="nl-NL"/>
        </w:rPr>
        <w:t xml:space="preserve">ố lượng, kiêm nhiệm, thiếu kinh nghiệm chuyên môn </w:t>
      </w:r>
      <w:r w:rsidRPr="002B3351">
        <w:rPr>
          <w:color w:val="000000"/>
          <w:lang w:val="vi-VN"/>
        </w:rPr>
        <w:t xml:space="preserve">gây khó khăn trong việc kiểm tra, theo dõi, báo cáo tình hình hoạt động của các </w:t>
      </w:r>
      <w:r w:rsidR="00C572F6" w:rsidRPr="002B3351">
        <w:rPr>
          <w:color w:val="000000"/>
          <w:lang w:val="nl-NL"/>
        </w:rPr>
        <w:t>HTX</w:t>
      </w:r>
      <w:r w:rsidRPr="002B3351">
        <w:rPr>
          <w:color w:val="000000"/>
          <w:lang w:val="vi-VN"/>
        </w:rPr>
        <w:t xml:space="preserve">, chưa kịp thời nắm bắt được khó khăn của các </w:t>
      </w:r>
      <w:r w:rsidR="00C572F6" w:rsidRPr="002B3351">
        <w:rPr>
          <w:color w:val="000000"/>
          <w:lang w:val="nl-NL"/>
        </w:rPr>
        <w:t>HTX</w:t>
      </w:r>
      <w:r w:rsidRPr="002B3351">
        <w:rPr>
          <w:color w:val="000000"/>
          <w:lang w:val="vi-VN"/>
        </w:rPr>
        <w:t xml:space="preserve"> để kịp thời xử lý, kiến nghị với cơ quan cấp trên</w:t>
      </w:r>
      <w:r w:rsidRPr="00BD76E7">
        <w:rPr>
          <w:color w:val="000000"/>
          <w:u w:val="single"/>
          <w:lang w:val="vi-VN"/>
        </w:rPr>
        <w:t>.</w:t>
      </w:r>
      <w:r w:rsidR="00CB3970" w:rsidRPr="00BD76E7">
        <w:rPr>
          <w:color w:val="000000"/>
          <w:u w:val="single"/>
          <w:lang w:val="nl-NL"/>
        </w:rPr>
        <w:t xml:space="preserve"> </w:t>
      </w:r>
    </w:p>
    <w:p w14:paraId="61DEBBC9" w14:textId="5169005D" w:rsidR="00A128EE" w:rsidRPr="000B18DD" w:rsidRDefault="00A128EE" w:rsidP="00BD76E7">
      <w:pPr>
        <w:spacing w:after="60"/>
        <w:ind w:firstLine="567"/>
        <w:rPr>
          <w:lang w:val="nl-NL"/>
        </w:rPr>
      </w:pPr>
      <w:r w:rsidRPr="000B18DD">
        <w:rPr>
          <w:lang w:val="nl-NL"/>
        </w:rPr>
        <w:t xml:space="preserve">- </w:t>
      </w:r>
      <w:r w:rsidR="00CB3970">
        <w:rPr>
          <w:lang w:val="nl-NL"/>
        </w:rPr>
        <w:t>C</w:t>
      </w:r>
      <w:r w:rsidRPr="000B18DD">
        <w:rPr>
          <w:lang w:val="nl-NL"/>
        </w:rPr>
        <w:t xml:space="preserve">hính sách tạo nguồn, đào tạo, bồi dưỡng </w:t>
      </w:r>
      <w:r w:rsidR="00EF6BA1">
        <w:rPr>
          <w:lang w:val="nl-NL"/>
        </w:rPr>
        <w:t xml:space="preserve">đội ngũ cán bộ </w:t>
      </w:r>
      <w:r w:rsidRPr="000B18DD">
        <w:rPr>
          <w:lang w:val="nl-NL"/>
        </w:rPr>
        <w:t>trong các HTX chưa được quan tâm đúng mức.</w:t>
      </w:r>
    </w:p>
    <w:p w14:paraId="089E0275" w14:textId="13C4DBE7" w:rsidR="00251F51" w:rsidRPr="00C57A34" w:rsidRDefault="00A128EE" w:rsidP="00BD76E7">
      <w:pPr>
        <w:spacing w:after="60"/>
        <w:ind w:firstLine="567"/>
        <w:rPr>
          <w:b/>
          <w:lang w:val="nl-NL"/>
        </w:rPr>
      </w:pPr>
      <w:r w:rsidRPr="000B18DD">
        <w:rPr>
          <w:lang w:val="nl-NL"/>
        </w:rPr>
        <w:t xml:space="preserve">- </w:t>
      </w:r>
      <w:r w:rsidR="00CB3970">
        <w:rPr>
          <w:lang w:val="nl-NL"/>
        </w:rPr>
        <w:t xml:space="preserve">Hầu hết các </w:t>
      </w:r>
      <w:r w:rsidRPr="000B18DD">
        <w:rPr>
          <w:lang w:val="nl-NL"/>
        </w:rPr>
        <w:t>HTX sản xuất manh mún, quy mô nhỏ, sản xuất chưa gắn với thị trường; chưa liên kết với doanh nghiệp, chưa chủ động vươn lên.</w:t>
      </w:r>
      <w:r w:rsidR="00C57A34">
        <w:rPr>
          <w:lang w:val="nl-NL"/>
        </w:rPr>
        <w:t xml:space="preserve"> </w:t>
      </w:r>
      <w:r w:rsidR="00C57A34" w:rsidRPr="000B18DD">
        <w:rPr>
          <w:lang w:val="nl-NL"/>
        </w:rPr>
        <w:t xml:space="preserve">Nhiều HTX </w:t>
      </w:r>
      <w:r w:rsidR="00C57A34">
        <w:rPr>
          <w:lang w:val="nl-NL"/>
        </w:rPr>
        <w:t xml:space="preserve">còn </w:t>
      </w:r>
      <w:r w:rsidR="00C57A34" w:rsidRPr="000B18DD">
        <w:rPr>
          <w:lang w:val="nl-NL"/>
        </w:rPr>
        <w:t>tư tưởng trông chờ vào sự hỗ trợ của Nhà nước</w:t>
      </w:r>
      <w:r w:rsidR="002B3351">
        <w:rPr>
          <w:lang w:val="nl-NL"/>
        </w:rPr>
        <w:t>.</w:t>
      </w:r>
    </w:p>
    <w:p w14:paraId="09D5CB05" w14:textId="77777777" w:rsidR="00CA27D2" w:rsidRPr="009F3102" w:rsidRDefault="00CA27D2" w:rsidP="00BD76E7">
      <w:pPr>
        <w:spacing w:after="60"/>
        <w:ind w:firstLine="567"/>
        <w:rPr>
          <w:b/>
          <w:bCs/>
          <w:i/>
          <w:lang w:val="nl-NL"/>
        </w:rPr>
      </w:pPr>
      <w:r w:rsidRPr="009F3102">
        <w:rPr>
          <w:b/>
          <w:bCs/>
          <w:i/>
          <w:lang w:val="nl-NL"/>
        </w:rPr>
        <w:t>3.2. Nguyên nhân khách quan</w:t>
      </w:r>
    </w:p>
    <w:p w14:paraId="014AA03B" w14:textId="7AA87227" w:rsidR="00C57A34" w:rsidRPr="00C57A34" w:rsidRDefault="00C57A34" w:rsidP="00BD76E7">
      <w:pPr>
        <w:spacing w:after="60"/>
        <w:ind w:firstLine="567"/>
        <w:rPr>
          <w:lang w:val="nl-NL"/>
        </w:rPr>
      </w:pPr>
      <w:r>
        <w:rPr>
          <w:lang w:val="nl-NL"/>
        </w:rPr>
        <w:t>-</w:t>
      </w:r>
      <w:r w:rsidRPr="00C57A34">
        <w:rPr>
          <w:lang w:val="nl-NL"/>
        </w:rPr>
        <w:t xml:space="preserve"> Các cơ chế, chính sách về hỗ trợ phát triển KTTT, HTX được ban hành nhiều, tuy nhiên nguồn lực để triển khai còn hạn chế, chưa có một chương trình, dự án riêng nào hỗ trợ cho HTX, nguồn ngân sách thực hiện các chính sách hỗ trợ chủ yếu là nguồn kinh phí lồng ghép Chương trình mục tiêu quốc gia, kinh phí sự nghiệp và các nguồn kinh phí vận động khác,…; Ngoài ra, một số cơ chế ban </w:t>
      </w:r>
      <w:r w:rsidRPr="00C57A34">
        <w:rPr>
          <w:lang w:val="nl-NL"/>
        </w:rPr>
        <w:lastRenderedPageBreak/>
        <w:t>hành chưa thật sự sát với yêu cầu thực tiễn, chưa quy định rõ các quy trình, thủ tục, hồ sơ giải quyết nên hiệu quả mang lại chưa như mong muốn</w:t>
      </w:r>
      <w:r w:rsidR="00D75DF5">
        <w:rPr>
          <w:rStyle w:val="FootnoteReference"/>
          <w:lang w:val="nl-NL"/>
        </w:rPr>
        <w:footnoteReference w:id="26"/>
      </w:r>
      <w:r>
        <w:rPr>
          <w:lang w:val="nl-NL"/>
        </w:rPr>
        <w:t>.</w:t>
      </w:r>
    </w:p>
    <w:p w14:paraId="26F1B075" w14:textId="1F4A34F2" w:rsidR="00C57A34" w:rsidRPr="00C57A34" w:rsidRDefault="00C57A34" w:rsidP="00BD76E7">
      <w:pPr>
        <w:widowControl w:val="0"/>
        <w:spacing w:after="60"/>
        <w:ind w:firstLine="567"/>
        <w:rPr>
          <w:lang w:val="nl-NL"/>
        </w:rPr>
      </w:pPr>
      <w:r>
        <w:rPr>
          <w:shd w:val="clear" w:color="auto" w:fill="FFFFFF"/>
          <w:lang w:val="nl-NL"/>
        </w:rPr>
        <w:t>-</w:t>
      </w:r>
      <w:r w:rsidRPr="00C57A34">
        <w:rPr>
          <w:shd w:val="clear" w:color="auto" w:fill="FFFFFF"/>
          <w:lang w:val="nl-NL"/>
        </w:rPr>
        <w:t xml:space="preserve"> Kinh phí hỗ trợ HTX </w:t>
      </w:r>
      <w:r w:rsidRPr="00C57A34">
        <w:rPr>
          <w:lang w:val="nl-NL"/>
        </w:rPr>
        <w:t>chưa</w:t>
      </w:r>
      <w:r w:rsidRPr="00C57A34">
        <w:rPr>
          <w:shd w:val="clear" w:color="auto" w:fill="FFFFFF"/>
          <w:lang w:val="nl-NL"/>
        </w:rPr>
        <w:t xml:space="preserve"> nhiều, bố trí phân tán rải rác nhiều chương trình</w:t>
      </w:r>
      <w:r w:rsidRPr="00C57A34">
        <w:rPr>
          <w:shd w:val="clear" w:color="auto" w:fill="FFFFFF"/>
          <w:vertAlign w:val="superscript"/>
          <w:lang w:val="nl-NL"/>
        </w:rPr>
        <w:t>(</w:t>
      </w:r>
      <w:r w:rsidRPr="00D74DE1">
        <w:rPr>
          <w:shd w:val="clear" w:color="auto" w:fill="FFFFFF"/>
          <w:vertAlign w:val="superscript"/>
        </w:rPr>
        <w:footnoteReference w:id="27"/>
      </w:r>
      <w:r w:rsidRPr="00C57A34">
        <w:rPr>
          <w:shd w:val="clear" w:color="auto" w:fill="FFFFFF"/>
          <w:vertAlign w:val="superscript"/>
          <w:lang w:val="nl-NL"/>
        </w:rPr>
        <w:t>)</w:t>
      </w:r>
      <w:r w:rsidRPr="00C57A34">
        <w:rPr>
          <w:shd w:val="clear" w:color="auto" w:fill="FFFFFF"/>
          <w:lang w:val="nl-NL"/>
        </w:rPr>
        <w:t>, giao nhiều đầu mối cơ quan thực hiện</w:t>
      </w:r>
      <w:r w:rsidRPr="00C57A34">
        <w:rPr>
          <w:shd w:val="clear" w:color="auto" w:fill="FFFFFF"/>
          <w:vertAlign w:val="superscript"/>
          <w:lang w:val="nl-NL"/>
        </w:rPr>
        <w:t>(</w:t>
      </w:r>
      <w:r w:rsidRPr="00D74DE1">
        <w:rPr>
          <w:shd w:val="clear" w:color="auto" w:fill="FFFFFF"/>
          <w:vertAlign w:val="superscript"/>
        </w:rPr>
        <w:footnoteReference w:id="28"/>
      </w:r>
      <w:r w:rsidRPr="00C57A34">
        <w:rPr>
          <w:shd w:val="clear" w:color="auto" w:fill="FFFFFF"/>
          <w:vertAlign w:val="superscript"/>
          <w:lang w:val="nl-NL"/>
        </w:rPr>
        <w:t>)</w:t>
      </w:r>
      <w:r w:rsidRPr="00C57A34">
        <w:rPr>
          <w:shd w:val="clear" w:color="auto" w:fill="FFFFFF"/>
          <w:lang w:val="nl-NL"/>
        </w:rPr>
        <w:t xml:space="preserve">; </w:t>
      </w:r>
      <w:r w:rsidRPr="00C57A34">
        <w:rPr>
          <w:lang w:val="nl-NL"/>
        </w:rPr>
        <w:t>việc huy động vốn từ thành viên cũng gặp khó khăn.</w:t>
      </w:r>
    </w:p>
    <w:p w14:paraId="22D7A84E" w14:textId="7B2690B7" w:rsidR="00C57A34" w:rsidRPr="0045625D" w:rsidRDefault="00C57A34" w:rsidP="00BD76E7">
      <w:pPr>
        <w:spacing w:after="60"/>
        <w:ind w:firstLine="567"/>
        <w:rPr>
          <w:spacing w:val="-2"/>
          <w:lang w:val="nl-NL"/>
        </w:rPr>
      </w:pPr>
      <w:r w:rsidRPr="00C57A34">
        <w:rPr>
          <w:spacing w:val="-2"/>
          <w:lang w:val="nl-NL"/>
        </w:rPr>
        <w:t>- Khung pháp lý và hệ thống chính sách hỗ trợ phát triển HTX còn bất cập, nội dung một số cơ chế, chính sách còn chồng chéo, trùng lắp, thiếu đồng bộ, chưa thật sự sát với nhu cầu thực tế</w:t>
      </w:r>
      <w:r w:rsidR="00355685">
        <w:rPr>
          <w:rStyle w:val="FootnoteReference"/>
          <w:spacing w:val="-2"/>
          <w:lang w:val="nl-NL"/>
        </w:rPr>
        <w:footnoteReference w:id="29"/>
      </w:r>
      <w:r w:rsidRPr="00C57A34">
        <w:rPr>
          <w:spacing w:val="-2"/>
          <w:lang w:val="nl-NL"/>
        </w:rPr>
        <w:t xml:space="preserve">. </w:t>
      </w:r>
      <w:r w:rsidRPr="0045625D">
        <w:rPr>
          <w:spacing w:val="-2"/>
          <w:lang w:val="nl-NL"/>
        </w:rPr>
        <w:t>Một số cơ chế chính sách ở Trung ương ban hành nhưng việc hướng dẫn triển khai và bố trí nguồn lực hỗ trợ chưa kịp thời</w:t>
      </w:r>
      <w:r w:rsidR="00355685">
        <w:rPr>
          <w:rStyle w:val="FootnoteReference"/>
          <w:spacing w:val="-2"/>
          <w:lang w:val="nl-NL"/>
        </w:rPr>
        <w:footnoteReference w:id="30"/>
      </w:r>
      <w:r w:rsidRPr="0045625D">
        <w:rPr>
          <w:spacing w:val="-2"/>
          <w:lang w:val="nl-NL"/>
        </w:rPr>
        <w:t>.</w:t>
      </w:r>
    </w:p>
    <w:p w14:paraId="38B649DD" w14:textId="5E5FB464" w:rsidR="00C57A34" w:rsidRPr="00C57A34" w:rsidRDefault="00C57A34" w:rsidP="00BD76E7">
      <w:pPr>
        <w:spacing w:after="60"/>
        <w:ind w:firstLine="567"/>
        <w:rPr>
          <w:color w:val="FF0000"/>
          <w:lang w:val="nl-NL"/>
        </w:rPr>
      </w:pPr>
      <w:r w:rsidRPr="0045625D">
        <w:rPr>
          <w:spacing w:val="-2"/>
          <w:lang w:val="nl-NL"/>
        </w:rPr>
        <w:t xml:space="preserve">- </w:t>
      </w:r>
      <w:r w:rsidRPr="0045625D">
        <w:rPr>
          <w:lang w:val="nl-NL"/>
        </w:rPr>
        <w:t>Nhà nước đã có những chính sách hỗ trợ về thuế, các loại phí, lãi suất, hỗ trợ người lao động, giảm giá tiền điện… Tuy nhiên, thực tế tại địa phương, không phải HTX nào cũng có thể tiếp cận được những hỗ trợ này, do các văn bản pháp lý, hướng dẫn về tiêu chí, định mức, điều kiện chưa rõ ràng, cụ thể, nên gây khó khăn cho việc áp dụng.</w:t>
      </w:r>
    </w:p>
    <w:p w14:paraId="17798A72" w14:textId="34D39189" w:rsidR="00CA27D2" w:rsidRDefault="00C57A34" w:rsidP="00BD76E7">
      <w:pPr>
        <w:spacing w:after="60"/>
        <w:ind w:firstLine="567"/>
        <w:rPr>
          <w:iCs/>
          <w:lang w:val="nl-NL"/>
        </w:rPr>
      </w:pPr>
      <w:r w:rsidRPr="00983652">
        <w:rPr>
          <w:b/>
          <w:color w:val="000000"/>
          <w:lang w:val="nl-NL"/>
        </w:rPr>
        <w:t>-</w:t>
      </w:r>
      <w:r w:rsidRPr="00992E3B">
        <w:rPr>
          <w:color w:val="FF0000"/>
          <w:lang w:val="nl-NL"/>
        </w:rPr>
        <w:t xml:space="preserve"> </w:t>
      </w:r>
      <w:r w:rsidRPr="00992E3B">
        <w:rPr>
          <w:bCs/>
          <w:lang w:val="nl-NL"/>
        </w:rPr>
        <w:t xml:space="preserve">Nhận thức của một bộ phận thành viên </w:t>
      </w:r>
      <w:r w:rsidR="00C572F6">
        <w:rPr>
          <w:bCs/>
          <w:lang w:val="nl-NL"/>
        </w:rPr>
        <w:t>HTX</w:t>
      </w:r>
      <w:r w:rsidRPr="00992E3B">
        <w:rPr>
          <w:bCs/>
          <w:lang w:val="nl-NL"/>
        </w:rPr>
        <w:t xml:space="preserve"> và người dân về vai trò của </w:t>
      </w:r>
      <w:r w:rsidR="00C572F6">
        <w:rPr>
          <w:bCs/>
          <w:lang w:val="nl-NL"/>
        </w:rPr>
        <w:t>HTX</w:t>
      </w:r>
      <w:r w:rsidRPr="00992E3B">
        <w:rPr>
          <w:bCs/>
          <w:lang w:val="nl-NL"/>
        </w:rPr>
        <w:t xml:space="preserve"> còn hạn chế nên chưa thu hút được người dân tự nguyện tham gia </w:t>
      </w:r>
      <w:r w:rsidR="00C572F6">
        <w:rPr>
          <w:bCs/>
          <w:lang w:val="nl-NL"/>
        </w:rPr>
        <w:t>HTX</w:t>
      </w:r>
      <w:r w:rsidRPr="00992E3B">
        <w:rPr>
          <w:bCs/>
          <w:lang w:val="nl-NL"/>
        </w:rPr>
        <w:t xml:space="preserve"> hoặc thành viên </w:t>
      </w:r>
      <w:r w:rsidR="00C572F6">
        <w:rPr>
          <w:bCs/>
          <w:lang w:val="nl-NL"/>
        </w:rPr>
        <w:t>HTX</w:t>
      </w:r>
      <w:r w:rsidRPr="00992E3B">
        <w:rPr>
          <w:bCs/>
          <w:lang w:val="nl-NL"/>
        </w:rPr>
        <w:t xml:space="preserve"> ra khỏi </w:t>
      </w:r>
      <w:r w:rsidR="00C572F6">
        <w:rPr>
          <w:bCs/>
          <w:lang w:val="nl-NL"/>
        </w:rPr>
        <w:t>HTX</w:t>
      </w:r>
      <w:r w:rsidRPr="00992E3B">
        <w:rPr>
          <w:bCs/>
          <w:lang w:val="nl-NL"/>
        </w:rPr>
        <w:t>.</w:t>
      </w:r>
    </w:p>
    <w:p w14:paraId="2CC0F395" w14:textId="57A46541" w:rsidR="00CA27D2" w:rsidRDefault="00BC4891" w:rsidP="00BD76E7">
      <w:pPr>
        <w:spacing w:after="60"/>
        <w:ind w:firstLine="567"/>
        <w:rPr>
          <w:b/>
          <w:lang w:val="nl-NL"/>
        </w:rPr>
      </w:pPr>
      <w:r>
        <w:rPr>
          <w:b/>
          <w:lang w:val="nl-NL"/>
        </w:rPr>
        <w:t>III</w:t>
      </w:r>
      <w:r w:rsidR="00CA27D2" w:rsidRPr="0091749A">
        <w:rPr>
          <w:b/>
          <w:lang w:val="nl-NL"/>
        </w:rPr>
        <w:t>. KIẾN NGHỊ</w:t>
      </w:r>
    </w:p>
    <w:p w14:paraId="014D6F81" w14:textId="77777777" w:rsidR="00CA27D2" w:rsidRPr="00B62C40" w:rsidRDefault="00CA27D2" w:rsidP="00BD76E7">
      <w:pPr>
        <w:spacing w:after="60"/>
        <w:ind w:firstLine="567"/>
        <w:rPr>
          <w:lang w:val="vi-VN"/>
        </w:rPr>
      </w:pPr>
      <w:r w:rsidRPr="00B62C40">
        <w:rPr>
          <w:lang w:val="vi-VN"/>
        </w:rPr>
        <w:t xml:space="preserve">Đoàn giám sát của </w:t>
      </w:r>
      <w:r w:rsidRPr="000512D4">
        <w:rPr>
          <w:lang w:val="nl-NL"/>
        </w:rPr>
        <w:t xml:space="preserve">Thường trực </w:t>
      </w:r>
      <w:r w:rsidRPr="00B62C40">
        <w:rPr>
          <w:lang w:val="vi-VN"/>
        </w:rPr>
        <w:t>HĐND tỉnh đề nghị UBND tỉnh thực hiện và chỉ đạo thực hiện một số nội dung sau:</w:t>
      </w:r>
    </w:p>
    <w:p w14:paraId="58E6220A" w14:textId="3FE421F9" w:rsidR="0061059C" w:rsidRDefault="00952EA6" w:rsidP="00BD76E7">
      <w:pPr>
        <w:spacing w:after="60"/>
        <w:ind w:firstLine="567"/>
        <w:rPr>
          <w:bCs/>
          <w:lang w:val="nl-NL"/>
        </w:rPr>
      </w:pPr>
      <w:r>
        <w:rPr>
          <w:bCs/>
          <w:lang w:val="nl-NL"/>
        </w:rPr>
        <w:t>1. Tăng cường công tác phối hợp, kiểm tra, giám sát hoạt động của các HTX trên địa bàn để kịp thời tháo gỡ khó khăn, vướng mắc</w:t>
      </w:r>
      <w:r w:rsidR="0061059C">
        <w:rPr>
          <w:bCs/>
          <w:lang w:val="nl-NL"/>
        </w:rPr>
        <w:t xml:space="preserve">; tạo điều kiện thuận lợi nhất để </w:t>
      </w:r>
      <w:r>
        <w:rPr>
          <w:bCs/>
          <w:lang w:val="nl-NL"/>
        </w:rPr>
        <w:t xml:space="preserve">các HTX </w:t>
      </w:r>
      <w:r w:rsidR="0061059C">
        <w:rPr>
          <w:bCs/>
          <w:lang w:val="nl-NL"/>
        </w:rPr>
        <w:t xml:space="preserve">hoạt động </w:t>
      </w:r>
      <w:r>
        <w:rPr>
          <w:bCs/>
          <w:lang w:val="nl-NL"/>
        </w:rPr>
        <w:t>ổn định</w:t>
      </w:r>
      <w:r w:rsidR="0061059C">
        <w:rPr>
          <w:bCs/>
          <w:lang w:val="nl-NL"/>
        </w:rPr>
        <w:t>,</w:t>
      </w:r>
      <w:r>
        <w:rPr>
          <w:bCs/>
          <w:lang w:val="nl-NL"/>
        </w:rPr>
        <w:t xml:space="preserve"> phát triển, tránh trường hợp </w:t>
      </w:r>
      <w:r w:rsidR="007F0C2C">
        <w:rPr>
          <w:bCs/>
          <w:lang w:val="nl-NL"/>
        </w:rPr>
        <w:t>núp bóng HTX</w:t>
      </w:r>
      <w:r w:rsidR="0061059C">
        <w:rPr>
          <w:bCs/>
          <w:lang w:val="nl-NL"/>
        </w:rPr>
        <w:t>,</w:t>
      </w:r>
      <w:r w:rsidR="007F0C2C">
        <w:rPr>
          <w:bCs/>
          <w:lang w:val="nl-NL"/>
        </w:rPr>
        <w:t xml:space="preserve"> </w:t>
      </w:r>
      <w:r w:rsidR="0061059C">
        <w:rPr>
          <w:bCs/>
          <w:lang w:val="nl-NL"/>
        </w:rPr>
        <w:t xml:space="preserve">HTX hoạt động không đúng bản chất của HTX theo Luật HTX năm 2012 </w:t>
      </w:r>
      <w:r w:rsidR="007F0C2C">
        <w:rPr>
          <w:bCs/>
          <w:lang w:val="nl-NL"/>
        </w:rPr>
        <w:t xml:space="preserve">hoặc </w:t>
      </w:r>
      <w:r>
        <w:rPr>
          <w:bCs/>
          <w:lang w:val="nl-NL"/>
        </w:rPr>
        <w:t xml:space="preserve">thành lập HTX danh nghĩa để </w:t>
      </w:r>
      <w:r w:rsidR="007F0C2C">
        <w:rPr>
          <w:bCs/>
          <w:lang w:val="nl-NL"/>
        </w:rPr>
        <w:t xml:space="preserve">trục </w:t>
      </w:r>
      <w:r>
        <w:rPr>
          <w:bCs/>
          <w:lang w:val="nl-NL"/>
        </w:rPr>
        <w:t>lợi</w:t>
      </w:r>
      <w:r w:rsidR="007F0C2C">
        <w:rPr>
          <w:bCs/>
          <w:lang w:val="nl-NL"/>
        </w:rPr>
        <w:t xml:space="preserve"> </w:t>
      </w:r>
      <w:r>
        <w:rPr>
          <w:bCs/>
          <w:lang w:val="nl-NL"/>
        </w:rPr>
        <w:t xml:space="preserve">các chính sách </w:t>
      </w:r>
      <w:r w:rsidR="007F0C2C">
        <w:rPr>
          <w:bCs/>
          <w:lang w:val="nl-NL"/>
        </w:rPr>
        <w:t xml:space="preserve">ưu đãi </w:t>
      </w:r>
      <w:r>
        <w:rPr>
          <w:bCs/>
          <w:lang w:val="nl-NL"/>
        </w:rPr>
        <w:t xml:space="preserve">của Nhà nước. </w:t>
      </w:r>
    </w:p>
    <w:p w14:paraId="608E5DA1" w14:textId="33F6149B" w:rsidR="00952EA6" w:rsidRDefault="00952EA6" w:rsidP="00BD76E7">
      <w:pPr>
        <w:spacing w:after="60"/>
        <w:ind w:firstLine="567"/>
        <w:rPr>
          <w:lang w:val="nl-NL"/>
        </w:rPr>
      </w:pPr>
      <w:r>
        <w:rPr>
          <w:bCs/>
          <w:lang w:val="nl-NL"/>
        </w:rPr>
        <w:lastRenderedPageBreak/>
        <w:t>2. Từ nay đến cuối năm</w:t>
      </w:r>
      <w:r w:rsidR="007F0C2C">
        <w:rPr>
          <w:bCs/>
          <w:lang w:val="nl-NL"/>
        </w:rPr>
        <w:t xml:space="preserve"> 2022</w:t>
      </w:r>
      <w:r>
        <w:rPr>
          <w:bCs/>
          <w:lang w:val="nl-NL"/>
        </w:rPr>
        <w:t xml:space="preserve">, </w:t>
      </w:r>
      <w:r w:rsidR="007F0C2C">
        <w:rPr>
          <w:bCs/>
          <w:lang w:val="nl-NL"/>
        </w:rPr>
        <w:t xml:space="preserve">tổ chức </w:t>
      </w:r>
      <w:r>
        <w:rPr>
          <w:bCs/>
          <w:lang w:val="nl-NL"/>
        </w:rPr>
        <w:t xml:space="preserve">kiểm tra tất cả các HTX trên địa bàn tỉnh, </w:t>
      </w:r>
      <w:r w:rsidR="007F0C2C">
        <w:rPr>
          <w:bCs/>
          <w:lang w:val="nl-NL"/>
        </w:rPr>
        <w:t xml:space="preserve">kịp thời thực hiện chuyển đổi hoặc </w:t>
      </w:r>
      <w:r>
        <w:rPr>
          <w:lang w:val="nl-NL"/>
        </w:rPr>
        <w:t xml:space="preserve">bắt buộc giải thể theo đúng </w:t>
      </w:r>
      <w:r w:rsidR="007F0C2C">
        <w:rPr>
          <w:lang w:val="nl-NL"/>
        </w:rPr>
        <w:t xml:space="preserve">quy định của Luật </w:t>
      </w:r>
      <w:r>
        <w:rPr>
          <w:lang w:val="nl-NL"/>
        </w:rPr>
        <w:t xml:space="preserve">HTX </w:t>
      </w:r>
      <w:r w:rsidR="007F0C2C">
        <w:rPr>
          <w:lang w:val="nl-NL"/>
        </w:rPr>
        <w:t xml:space="preserve">năm 2012, </w:t>
      </w:r>
      <w:r>
        <w:rPr>
          <w:lang w:val="nl-NL"/>
        </w:rPr>
        <w:t>báo cáo</w:t>
      </w:r>
      <w:r w:rsidR="007F0C2C">
        <w:rPr>
          <w:lang w:val="nl-NL"/>
        </w:rPr>
        <w:t xml:space="preserve"> về </w:t>
      </w:r>
      <w:r>
        <w:rPr>
          <w:lang w:val="nl-NL"/>
        </w:rPr>
        <w:t>Thường trực HĐND tỉnh</w:t>
      </w:r>
      <w:r w:rsidR="007F0C2C">
        <w:rPr>
          <w:lang w:val="nl-NL"/>
        </w:rPr>
        <w:t xml:space="preserve"> trước 31/12/2022 để</w:t>
      </w:r>
      <w:r>
        <w:rPr>
          <w:lang w:val="nl-NL"/>
        </w:rPr>
        <w:t xml:space="preserve"> biết, chỉ đạo.</w:t>
      </w:r>
    </w:p>
    <w:p w14:paraId="50AAE651" w14:textId="5C137E28" w:rsidR="00952EA6" w:rsidRDefault="00952EA6" w:rsidP="00BD76E7">
      <w:pPr>
        <w:spacing w:after="60"/>
        <w:ind w:firstLine="567"/>
        <w:rPr>
          <w:bCs/>
          <w:lang w:val="nl-NL"/>
        </w:rPr>
      </w:pPr>
      <w:r>
        <w:rPr>
          <w:bCs/>
          <w:lang w:val="nl-NL"/>
        </w:rPr>
        <w:t xml:space="preserve">3. </w:t>
      </w:r>
      <w:r w:rsidRPr="008F5ED1">
        <w:rPr>
          <w:lang w:val="nl-NL"/>
        </w:rPr>
        <w:t>Tập trung nguồn lực từ các tổ chức, đơn vị</w:t>
      </w:r>
      <w:r>
        <w:rPr>
          <w:lang w:val="nl-NL"/>
        </w:rPr>
        <w:t xml:space="preserve">, lồng ghép các nguồn vốn </w:t>
      </w:r>
      <w:r w:rsidRPr="008F5ED1">
        <w:rPr>
          <w:lang w:val="nl-NL"/>
        </w:rPr>
        <w:t>để hỗ trợ mô hình HTX sản xuất gắn với chuỗi giá trị sản phẩm; đồng thời lựa chọn những HTX có đủ năng lực để đầu tư xây dựng chuỗi giá trị sản phẩm.</w:t>
      </w:r>
    </w:p>
    <w:p w14:paraId="4752A2CB" w14:textId="30BC02FB" w:rsidR="00952EA6" w:rsidRPr="008F1724" w:rsidRDefault="00952EA6" w:rsidP="00BD76E7">
      <w:pPr>
        <w:spacing w:after="60"/>
        <w:ind w:firstLine="567"/>
        <w:rPr>
          <w:lang w:val="nl-NL"/>
        </w:rPr>
      </w:pPr>
      <w:r>
        <w:rPr>
          <w:lang w:val="nl-NL"/>
        </w:rPr>
        <w:t xml:space="preserve">4. </w:t>
      </w:r>
      <w:r w:rsidRPr="008F1724">
        <w:rPr>
          <w:lang w:val="nl-NL"/>
        </w:rPr>
        <w:t>Nghiên cứu hỗ</w:t>
      </w:r>
      <w:r>
        <w:rPr>
          <w:lang w:val="nl-NL"/>
        </w:rPr>
        <w:t xml:space="preserve"> </w:t>
      </w:r>
      <w:r w:rsidRPr="008F1724">
        <w:rPr>
          <w:lang w:val="nl-NL"/>
        </w:rPr>
        <w:t>trợ</w:t>
      </w:r>
      <w:r>
        <w:rPr>
          <w:lang w:val="nl-NL"/>
        </w:rPr>
        <w:t xml:space="preserve"> </w:t>
      </w:r>
      <w:r w:rsidRPr="008F1724">
        <w:rPr>
          <w:lang w:val="nl-NL"/>
        </w:rPr>
        <w:t>HTX tham gia giới thiệu</w:t>
      </w:r>
      <w:r>
        <w:rPr>
          <w:lang w:val="nl-NL"/>
        </w:rPr>
        <w:t xml:space="preserve"> </w:t>
      </w:r>
      <w:r w:rsidRPr="008F1724">
        <w:rPr>
          <w:lang w:val="nl-NL"/>
        </w:rPr>
        <w:t>sản phẩm tại các hội chợ</w:t>
      </w:r>
      <w:r>
        <w:rPr>
          <w:lang w:val="nl-NL"/>
        </w:rPr>
        <w:t xml:space="preserve"> </w:t>
      </w:r>
      <w:r w:rsidRPr="008F1724">
        <w:rPr>
          <w:lang w:val="nl-NL"/>
        </w:rPr>
        <w:t xml:space="preserve">trong và ngoài tỉnh; </w:t>
      </w:r>
      <w:r>
        <w:rPr>
          <w:lang w:val="nl-NL"/>
        </w:rPr>
        <w:t xml:space="preserve">tham </w:t>
      </w:r>
      <w:r w:rsidRPr="008F1724">
        <w:rPr>
          <w:lang w:val="nl-NL"/>
        </w:rPr>
        <w:t>gia</w:t>
      </w:r>
      <w:r>
        <w:rPr>
          <w:lang w:val="nl-NL"/>
        </w:rPr>
        <w:t xml:space="preserve"> </w:t>
      </w:r>
      <w:r w:rsidRPr="008F1724">
        <w:rPr>
          <w:lang w:val="nl-NL"/>
        </w:rPr>
        <w:t>chương trình kết nối cung cầu giữa các nhà sản xuất, các cơ sở</w:t>
      </w:r>
      <w:r>
        <w:rPr>
          <w:lang w:val="nl-NL"/>
        </w:rPr>
        <w:t xml:space="preserve"> </w:t>
      </w:r>
      <w:r w:rsidRPr="008F1724">
        <w:rPr>
          <w:lang w:val="nl-NL"/>
        </w:rPr>
        <w:t>sản xuất hàng nông sản trên địa bàn với các doanh nghiệp, trung tâm thương mại, siêu thị</w:t>
      </w:r>
      <w:r>
        <w:rPr>
          <w:lang w:val="nl-NL"/>
        </w:rPr>
        <w:t xml:space="preserve"> </w:t>
      </w:r>
      <w:r w:rsidRPr="008F1724">
        <w:rPr>
          <w:lang w:val="nl-NL"/>
        </w:rPr>
        <w:t>nhằm giới thiệu, hỗ</w:t>
      </w:r>
      <w:r>
        <w:rPr>
          <w:lang w:val="nl-NL"/>
        </w:rPr>
        <w:t xml:space="preserve"> </w:t>
      </w:r>
      <w:r w:rsidRPr="008F1724">
        <w:rPr>
          <w:lang w:val="nl-NL"/>
        </w:rPr>
        <w:t>trợ, giúp các cơ sở</w:t>
      </w:r>
      <w:r>
        <w:rPr>
          <w:lang w:val="nl-NL"/>
        </w:rPr>
        <w:t xml:space="preserve"> </w:t>
      </w:r>
      <w:r w:rsidRPr="008F1724">
        <w:rPr>
          <w:lang w:val="nl-NL"/>
        </w:rPr>
        <w:t>sản xuất tiêu thụ</w:t>
      </w:r>
      <w:r>
        <w:rPr>
          <w:lang w:val="nl-NL"/>
        </w:rPr>
        <w:t xml:space="preserve"> </w:t>
      </w:r>
      <w:r w:rsidRPr="008F1724">
        <w:rPr>
          <w:lang w:val="nl-NL"/>
        </w:rPr>
        <w:t>sản phẩm.</w:t>
      </w:r>
    </w:p>
    <w:p w14:paraId="3294DF82" w14:textId="2C767293" w:rsidR="00E90DCB" w:rsidRPr="002540C1" w:rsidRDefault="00952EA6" w:rsidP="00BD76E7">
      <w:pPr>
        <w:spacing w:after="60"/>
        <w:ind w:firstLine="567"/>
        <w:rPr>
          <w:lang w:val="nl-NL"/>
        </w:rPr>
      </w:pPr>
      <w:r w:rsidRPr="00DB225B">
        <w:rPr>
          <w:lang w:val="nl-NL"/>
        </w:rPr>
        <w:t xml:space="preserve">5. </w:t>
      </w:r>
      <w:r w:rsidR="00E90DCB" w:rsidRPr="00DB225B">
        <w:rPr>
          <w:lang w:val="nl-NL"/>
        </w:rPr>
        <w:t>Quan tâm công tác t</w:t>
      </w:r>
      <w:r w:rsidR="00E90DCB" w:rsidRPr="003E3EA7">
        <w:rPr>
          <w:lang w:val="nl-NL"/>
        </w:rPr>
        <w:t>ậ</w:t>
      </w:r>
      <w:r w:rsidR="00E90DCB" w:rsidRPr="00F846BF">
        <w:rPr>
          <w:lang w:val="nl-NL"/>
        </w:rPr>
        <w:t>p huấn về</w:t>
      </w:r>
      <w:r w:rsidR="00E90DCB" w:rsidRPr="008E4317">
        <w:rPr>
          <w:lang w:val="nl-NL"/>
        </w:rPr>
        <w:t xml:space="preserve"> nh</w:t>
      </w:r>
      <w:r w:rsidR="00E90DCB" w:rsidRPr="00DB2E6C">
        <w:rPr>
          <w:lang w:val="nl-NL"/>
        </w:rPr>
        <w:t>ữ</w:t>
      </w:r>
      <w:r w:rsidR="00E90DCB" w:rsidRPr="001A723B">
        <w:rPr>
          <w:lang w:val="nl-NL"/>
        </w:rPr>
        <w:t>ng kiến th</w:t>
      </w:r>
      <w:r w:rsidR="00E90DCB" w:rsidRPr="00396F32">
        <w:rPr>
          <w:lang w:val="nl-NL"/>
        </w:rPr>
        <w:t>ứ</w:t>
      </w:r>
      <w:r w:rsidR="00E90DCB" w:rsidRPr="00546EB9">
        <w:rPr>
          <w:lang w:val="nl-NL"/>
        </w:rPr>
        <w:t>c, kỹ</w:t>
      </w:r>
      <w:r w:rsidR="00E90DCB" w:rsidRPr="002540C1">
        <w:rPr>
          <w:lang w:val="nl-NL"/>
        </w:rPr>
        <w:t xml:space="preserve"> năng như: Quản lý, điều hành HTX; xây dựng chiến lược sản xuất, kinh doanh; maketing; xây dựng chuỗi giá trị sản phẩm... và tập huấn nâng cao kỹ thuật, nghiệp vụ cho cán bộ quản lý, thành viên HTX như: Kỹ thuật chăn nuôi, trồng trọt, chế biến sản phẩm, nghiệp vụ kế toán….</w:t>
      </w:r>
    </w:p>
    <w:p w14:paraId="483C18C4" w14:textId="6A335ECA" w:rsidR="00952EA6" w:rsidRDefault="00E90DCB" w:rsidP="00BD76E7">
      <w:pPr>
        <w:spacing w:after="60"/>
        <w:ind w:firstLine="567"/>
        <w:rPr>
          <w:lang w:val="nl-NL"/>
        </w:rPr>
      </w:pPr>
      <w:r>
        <w:rPr>
          <w:lang w:val="nl-NL"/>
        </w:rPr>
        <w:t xml:space="preserve">6. </w:t>
      </w:r>
      <w:r w:rsidR="00952EA6" w:rsidRPr="008F5ED1">
        <w:rPr>
          <w:lang w:val="nl-NL"/>
        </w:rPr>
        <w:t>Xây dựng và nhân rộng các mô hình HTX kiểu mới, hoạt động hiệu quả. Thực hiện tốt công tác đánh giá và kịp thời tôn vinh, khen thưởng nhằm khích lệ các HTX vươn lên.</w:t>
      </w:r>
    </w:p>
    <w:p w14:paraId="4789A0AF" w14:textId="4FC85E79" w:rsidR="005E2345" w:rsidRDefault="00E90DCB" w:rsidP="00BD76E7">
      <w:pPr>
        <w:spacing w:after="60"/>
        <w:ind w:firstLine="567"/>
        <w:rPr>
          <w:color w:val="000000"/>
          <w:lang w:val="af-ZA"/>
        </w:rPr>
      </w:pPr>
      <w:r>
        <w:rPr>
          <w:lang w:val="de-DE"/>
        </w:rPr>
        <w:t>7</w:t>
      </w:r>
      <w:r w:rsidR="00952EA6">
        <w:rPr>
          <w:lang w:val="de-DE"/>
        </w:rPr>
        <w:t>.</w:t>
      </w:r>
      <w:r w:rsidR="00952EA6" w:rsidRPr="00B06A75">
        <w:rPr>
          <w:lang w:val="de-DE"/>
        </w:rPr>
        <w:t xml:space="preserve"> </w:t>
      </w:r>
      <w:r w:rsidR="00952EA6">
        <w:rPr>
          <w:lang w:val="de-DE"/>
        </w:rPr>
        <w:t>H</w:t>
      </w:r>
      <w:r w:rsidR="00952EA6" w:rsidRPr="00B06A75">
        <w:rPr>
          <w:lang w:val="pt-BR"/>
        </w:rPr>
        <w:t xml:space="preserve">ướng dẫn, tạo điều kiện để các HTX vay vốn từ </w:t>
      </w:r>
      <w:r w:rsidR="00952EA6" w:rsidRPr="00B06A75">
        <w:rPr>
          <w:shd w:val="clear" w:color="auto" w:fill="FFFFFF"/>
          <w:lang w:val="vi-VN"/>
        </w:rPr>
        <w:t xml:space="preserve">Quỹ hỗ </w:t>
      </w:r>
      <w:r w:rsidR="00952EA6" w:rsidRPr="00B06A75">
        <w:rPr>
          <w:shd w:val="clear" w:color="auto" w:fill="FFFFFF"/>
          <w:lang w:val="de-DE"/>
        </w:rPr>
        <w:t>tr</w:t>
      </w:r>
      <w:r w:rsidR="00952EA6" w:rsidRPr="00B06A75">
        <w:rPr>
          <w:shd w:val="clear" w:color="auto" w:fill="FFFFFF"/>
          <w:lang w:val="vi-VN"/>
        </w:rPr>
        <w:t>ợ phát triển HTX tỉnh</w:t>
      </w:r>
      <w:r w:rsidR="00952EA6" w:rsidRPr="008B2C17">
        <w:rPr>
          <w:shd w:val="clear" w:color="auto" w:fill="FFFFFF"/>
          <w:lang w:val="nl-NL"/>
        </w:rPr>
        <w:t>, các nguồn vốn ưu đãi</w:t>
      </w:r>
      <w:r w:rsidR="00952EA6" w:rsidRPr="00B06A75">
        <w:rPr>
          <w:shd w:val="clear" w:color="auto" w:fill="FFFFFF"/>
          <w:lang w:val="nl-NL"/>
        </w:rPr>
        <w:t xml:space="preserve"> để mở rộng quy mô sản xuất, kinh doanh.</w:t>
      </w:r>
      <w:r w:rsidR="007B22F0">
        <w:rPr>
          <w:shd w:val="clear" w:color="auto" w:fill="FFFFFF"/>
          <w:lang w:val="nl-NL"/>
        </w:rPr>
        <w:t xml:space="preserve"> </w:t>
      </w:r>
      <w:r w:rsidR="007B22F0">
        <w:rPr>
          <w:lang w:val="nl-NL"/>
        </w:rPr>
        <w:t>T</w:t>
      </w:r>
      <w:r w:rsidR="007B22F0" w:rsidRPr="00992E3B">
        <w:rPr>
          <w:lang w:val="nl-NL"/>
        </w:rPr>
        <w:t xml:space="preserve">ạo điều kiện giao đất, cho thuê đất để </w:t>
      </w:r>
      <w:r w:rsidR="007B22F0">
        <w:rPr>
          <w:lang w:val="nl-NL"/>
        </w:rPr>
        <w:t>HTX</w:t>
      </w:r>
      <w:r w:rsidR="007B22F0" w:rsidRPr="00992E3B">
        <w:rPr>
          <w:lang w:val="nl-NL"/>
        </w:rPr>
        <w:t xml:space="preserve"> xây dựng trụ sở làm việc, nhà xưởng, tổ chức hoạt động sản xuất kinh doanh</w:t>
      </w:r>
      <w:r w:rsidR="007B22F0">
        <w:rPr>
          <w:lang w:val="nl-NL"/>
        </w:rPr>
        <w:t>.</w:t>
      </w:r>
    </w:p>
    <w:p w14:paraId="2246CD72" w14:textId="26EFBCF7" w:rsidR="006C1E8C" w:rsidRDefault="00E90DCB" w:rsidP="00BD76E7">
      <w:pPr>
        <w:spacing w:after="60"/>
        <w:ind w:firstLine="567"/>
        <w:rPr>
          <w:lang w:val="af-ZA"/>
        </w:rPr>
      </w:pPr>
      <w:r>
        <w:rPr>
          <w:lang w:val="af-ZA"/>
        </w:rPr>
        <w:t>8</w:t>
      </w:r>
      <w:r w:rsidR="002142E1" w:rsidRPr="00647694">
        <w:rPr>
          <w:lang w:val="af-ZA"/>
        </w:rPr>
        <w:t>.</w:t>
      </w:r>
      <w:r w:rsidR="002142E1" w:rsidRPr="005C5377">
        <w:rPr>
          <w:lang w:val="af-ZA"/>
        </w:rPr>
        <w:t xml:space="preserve"> </w:t>
      </w:r>
      <w:r w:rsidR="006C1E8C">
        <w:rPr>
          <w:lang w:val="af-ZA"/>
        </w:rPr>
        <w:t>Tăng cường cán bộ, công chức tại các cơ quan quản lý nhà nước về kinh tế tập thể để đảm bảo số lượng, trình độ chuyên môn để đáp ứng nhiệm vụ tham mưu phát triển kinh tế tập thể của địa phương.</w:t>
      </w:r>
    </w:p>
    <w:p w14:paraId="785A079F" w14:textId="759D073E" w:rsidR="00251F51" w:rsidRDefault="006C1E8C" w:rsidP="00BD76E7">
      <w:pPr>
        <w:spacing w:after="60"/>
        <w:ind w:firstLine="567"/>
        <w:rPr>
          <w:lang w:val="af-ZA"/>
        </w:rPr>
      </w:pPr>
      <w:r>
        <w:rPr>
          <w:lang w:val="af-ZA"/>
        </w:rPr>
        <w:t xml:space="preserve">9. </w:t>
      </w:r>
      <w:r w:rsidR="002142E1" w:rsidRPr="005C5377">
        <w:rPr>
          <w:lang w:val="af-ZA"/>
        </w:rPr>
        <w:t xml:space="preserve">Xem xét, giải quyết những kiến nghị của các sở, ngành liên quan, UBND các huyện, thành phố </w:t>
      </w:r>
      <w:r w:rsidR="002142E1" w:rsidRPr="005C5377">
        <w:rPr>
          <w:i/>
          <w:iCs/>
          <w:lang w:val="af-ZA"/>
        </w:rPr>
        <w:t xml:space="preserve">(có Phụ lục </w:t>
      </w:r>
      <w:r w:rsidR="007B22F0">
        <w:rPr>
          <w:i/>
          <w:iCs/>
          <w:lang w:val="af-ZA"/>
        </w:rPr>
        <w:t>5</w:t>
      </w:r>
      <w:r w:rsidR="002142E1" w:rsidRPr="005C5377">
        <w:rPr>
          <w:i/>
          <w:iCs/>
          <w:lang w:val="af-ZA"/>
        </w:rPr>
        <w:t xml:space="preserve"> kèm theo)</w:t>
      </w:r>
      <w:r w:rsidR="002142E1" w:rsidRPr="005C5377">
        <w:rPr>
          <w:lang w:val="af-ZA"/>
        </w:rPr>
        <w:t>.</w:t>
      </w:r>
    </w:p>
    <w:p w14:paraId="39C0F7F3" w14:textId="1636E16F" w:rsidR="00B46D11" w:rsidRDefault="00B46D11" w:rsidP="00F22DB9">
      <w:pPr>
        <w:spacing w:before="120"/>
        <w:ind w:firstLine="720"/>
        <w:rPr>
          <w:spacing w:val="-2"/>
          <w:lang w:val="pt-BR"/>
        </w:rPr>
      </w:pPr>
      <w:r>
        <w:rPr>
          <w:spacing w:val="-2"/>
          <w:lang w:val="pt-BR"/>
        </w:rPr>
        <w:t xml:space="preserve">Trên đây là </w:t>
      </w:r>
      <w:r w:rsidR="003B0B3F">
        <w:rPr>
          <w:spacing w:val="-2"/>
          <w:lang w:val="pt-BR"/>
        </w:rPr>
        <w:t xml:space="preserve">Báo </w:t>
      </w:r>
      <w:r>
        <w:rPr>
          <w:spacing w:val="-2"/>
          <w:lang w:val="pt-BR"/>
        </w:rPr>
        <w:t xml:space="preserve">cáo </w:t>
      </w:r>
      <w:r w:rsidR="00952EA6">
        <w:rPr>
          <w:spacing w:val="-2"/>
          <w:lang w:val="pt-BR"/>
        </w:rPr>
        <w:t xml:space="preserve">kết quả </w:t>
      </w:r>
      <w:r w:rsidRPr="00B46D11">
        <w:rPr>
          <w:spacing w:val="-2"/>
          <w:lang w:val="pt-BR"/>
        </w:rPr>
        <w:t xml:space="preserve">giám sát </w:t>
      </w:r>
      <w:r w:rsidR="00952EA6" w:rsidRPr="00C4431A">
        <w:rPr>
          <w:bCs/>
          <w:lang w:val="pt-BR"/>
        </w:rPr>
        <w:t xml:space="preserve">tình hình hoạt động của Hợp tác </w:t>
      </w:r>
      <w:r w:rsidR="00952EA6" w:rsidRPr="005E5AA4">
        <w:rPr>
          <w:bCs/>
          <w:lang w:val="pt-BR"/>
        </w:rPr>
        <w:t>xã trên</w:t>
      </w:r>
      <w:r w:rsidR="00952EA6" w:rsidRPr="00C4431A">
        <w:rPr>
          <w:bCs/>
          <w:lang w:val="pt-BR"/>
        </w:rPr>
        <w:t xml:space="preserve"> địa bàn tỉnh Kon Tum theo Luật Hợp tác xã năm 2012</w:t>
      </w:r>
      <w:r>
        <w:rPr>
          <w:spacing w:val="-2"/>
          <w:lang w:val="pt-BR"/>
        </w:rPr>
        <w:t>./.</w:t>
      </w:r>
    </w:p>
    <w:p w14:paraId="58C1190D" w14:textId="77777777" w:rsidR="00BA4FBE" w:rsidRPr="00BD76E7" w:rsidRDefault="00BA4FBE" w:rsidP="00C249B1">
      <w:pPr>
        <w:ind w:firstLine="720"/>
        <w:rPr>
          <w:spacing w:val="-2"/>
          <w:sz w:val="16"/>
          <w:lang w:val="pt-BR"/>
        </w:rPr>
      </w:pPr>
    </w:p>
    <w:tbl>
      <w:tblPr>
        <w:tblW w:w="9322" w:type="dxa"/>
        <w:jc w:val="center"/>
        <w:tblLook w:val="04A0" w:firstRow="1" w:lastRow="0" w:firstColumn="1" w:lastColumn="0" w:noHBand="0" w:noVBand="1"/>
      </w:tblPr>
      <w:tblGrid>
        <w:gridCol w:w="4945"/>
        <w:gridCol w:w="4377"/>
      </w:tblGrid>
      <w:tr w:rsidR="00B46D11" w:rsidRPr="00510DEC" w14:paraId="4DC56725" w14:textId="77777777" w:rsidTr="00EC6FA9">
        <w:trPr>
          <w:jc w:val="center"/>
        </w:trPr>
        <w:tc>
          <w:tcPr>
            <w:tcW w:w="4945" w:type="dxa"/>
            <w:shd w:val="clear" w:color="auto" w:fill="auto"/>
          </w:tcPr>
          <w:p w14:paraId="28E8F829" w14:textId="77777777" w:rsidR="00B46D11" w:rsidRPr="004C10B1" w:rsidRDefault="00B46D11" w:rsidP="00EC6FA9">
            <w:pPr>
              <w:rPr>
                <w:b/>
                <w:i/>
                <w:sz w:val="24"/>
                <w:lang w:val="de-DE"/>
              </w:rPr>
            </w:pPr>
            <w:r w:rsidRPr="004C10B1">
              <w:rPr>
                <w:b/>
                <w:i/>
                <w:sz w:val="24"/>
                <w:lang w:val="de-DE"/>
              </w:rPr>
              <w:t>Nơi nhận:</w:t>
            </w:r>
          </w:p>
          <w:p w14:paraId="0C8502BB" w14:textId="77777777" w:rsidR="00B46D11" w:rsidRPr="00AD3C2C" w:rsidRDefault="00B46D11" w:rsidP="00EC6FA9">
            <w:pPr>
              <w:pStyle w:val="BodyTextIndent"/>
              <w:ind w:firstLine="0"/>
              <w:rPr>
                <w:sz w:val="22"/>
                <w:szCs w:val="22"/>
                <w:lang w:val="zu-ZA"/>
              </w:rPr>
            </w:pPr>
            <w:r w:rsidRPr="00AD3C2C">
              <w:rPr>
                <w:sz w:val="22"/>
                <w:szCs w:val="22"/>
                <w:lang w:val="zu-ZA"/>
              </w:rPr>
              <w:t>- Thường trực HĐND tỉnh;</w:t>
            </w:r>
          </w:p>
          <w:p w14:paraId="0AEFC1AE" w14:textId="0525FA12" w:rsidR="00B46D11" w:rsidRPr="00AD3C2C" w:rsidRDefault="00B46D11" w:rsidP="00EC6FA9">
            <w:pPr>
              <w:pStyle w:val="BodyTextIndent"/>
              <w:ind w:firstLine="0"/>
              <w:rPr>
                <w:sz w:val="22"/>
                <w:szCs w:val="22"/>
                <w:lang w:val="zu-ZA"/>
              </w:rPr>
            </w:pPr>
            <w:r w:rsidRPr="00AD3C2C">
              <w:rPr>
                <w:sz w:val="22"/>
                <w:szCs w:val="22"/>
                <w:lang w:val="zu-ZA"/>
              </w:rPr>
              <w:t>- UBND tỉnh;</w:t>
            </w:r>
          </w:p>
          <w:p w14:paraId="2AE5E723" w14:textId="77777777" w:rsidR="00B46D11" w:rsidRPr="00AD3C2C" w:rsidRDefault="00B46D11" w:rsidP="00EC6FA9">
            <w:pPr>
              <w:pStyle w:val="BodyTextIndent"/>
              <w:ind w:firstLine="0"/>
              <w:rPr>
                <w:sz w:val="22"/>
                <w:szCs w:val="22"/>
                <w:lang w:val="zu-ZA"/>
              </w:rPr>
            </w:pPr>
            <w:r w:rsidRPr="00AD3C2C">
              <w:rPr>
                <w:sz w:val="22"/>
                <w:szCs w:val="22"/>
                <w:lang w:val="zu-ZA"/>
              </w:rPr>
              <w:t xml:space="preserve">- Uỷ ban MTTQ Việt Nam tỉnh; </w:t>
            </w:r>
          </w:p>
          <w:p w14:paraId="50E0E2A9" w14:textId="77777777" w:rsidR="00B46D11" w:rsidRPr="00AD3C2C" w:rsidRDefault="00B46D11" w:rsidP="00EC6FA9">
            <w:pPr>
              <w:pStyle w:val="BodyTextIndent"/>
              <w:ind w:firstLine="0"/>
              <w:rPr>
                <w:sz w:val="22"/>
                <w:szCs w:val="22"/>
                <w:lang w:val="zu-ZA"/>
              </w:rPr>
            </w:pPr>
            <w:r w:rsidRPr="00AD3C2C">
              <w:rPr>
                <w:sz w:val="22"/>
                <w:szCs w:val="22"/>
                <w:lang w:val="zu-ZA"/>
              </w:rPr>
              <w:t>- Các Ban của HĐND tỉnh;</w:t>
            </w:r>
          </w:p>
          <w:p w14:paraId="5E644908" w14:textId="77777777" w:rsidR="00B46D11" w:rsidRDefault="00B46D11" w:rsidP="00EC6FA9">
            <w:pPr>
              <w:pStyle w:val="BodyTextIndent"/>
              <w:ind w:firstLine="0"/>
              <w:rPr>
                <w:sz w:val="22"/>
                <w:szCs w:val="22"/>
                <w:lang w:val="zu-ZA"/>
              </w:rPr>
            </w:pPr>
            <w:r w:rsidRPr="00AD3C2C">
              <w:rPr>
                <w:sz w:val="22"/>
                <w:szCs w:val="22"/>
                <w:lang w:val="zu-ZA"/>
              </w:rPr>
              <w:t>- Đại biểu HĐND tỉnh;</w:t>
            </w:r>
          </w:p>
          <w:p w14:paraId="684C21BB" w14:textId="5A979B90" w:rsidR="00952EA6" w:rsidRDefault="00B46D11" w:rsidP="00952EA6">
            <w:pPr>
              <w:rPr>
                <w:rFonts w:eastAsia="Times New Roman"/>
                <w:sz w:val="22"/>
                <w:lang w:val="zu-ZA"/>
              </w:rPr>
            </w:pPr>
            <w:r w:rsidRPr="004C10B1">
              <w:rPr>
                <w:sz w:val="22"/>
                <w:szCs w:val="22"/>
                <w:lang w:val="zu-ZA"/>
              </w:rPr>
              <w:t>- Các s</w:t>
            </w:r>
            <w:r>
              <w:rPr>
                <w:sz w:val="22"/>
                <w:szCs w:val="22"/>
                <w:lang w:val="zu-ZA"/>
              </w:rPr>
              <w:t>ở</w:t>
            </w:r>
            <w:r w:rsidRPr="004C10B1">
              <w:rPr>
                <w:sz w:val="22"/>
                <w:szCs w:val="22"/>
                <w:lang w:val="zu-ZA"/>
              </w:rPr>
              <w:t xml:space="preserve">: </w:t>
            </w:r>
            <w:r w:rsidR="00952EA6" w:rsidRPr="009C0F57">
              <w:rPr>
                <w:rFonts w:eastAsia="Times New Roman"/>
                <w:sz w:val="22"/>
                <w:lang w:val="zu-ZA"/>
              </w:rPr>
              <w:t xml:space="preserve">Kế hoạch và Đầu tư, Nông nghiệp và Phát triển </w:t>
            </w:r>
            <w:r w:rsidR="00952EA6">
              <w:rPr>
                <w:rFonts w:eastAsia="Times New Roman"/>
                <w:sz w:val="22"/>
                <w:lang w:val="zu-ZA"/>
              </w:rPr>
              <w:t>n</w:t>
            </w:r>
            <w:r w:rsidR="00952EA6" w:rsidRPr="009C0F57">
              <w:rPr>
                <w:rFonts w:eastAsia="Times New Roman"/>
                <w:sz w:val="22"/>
                <w:lang w:val="zu-ZA"/>
              </w:rPr>
              <w:t xml:space="preserve">ông thôn, Công thương, Giao thông </w:t>
            </w:r>
            <w:r w:rsidR="00952EA6">
              <w:rPr>
                <w:rFonts w:eastAsia="Times New Roman"/>
                <w:sz w:val="22"/>
                <w:lang w:val="zu-ZA"/>
              </w:rPr>
              <w:t>v</w:t>
            </w:r>
            <w:r w:rsidR="00952EA6" w:rsidRPr="009C0F57">
              <w:rPr>
                <w:rFonts w:eastAsia="Times New Roman"/>
                <w:sz w:val="22"/>
                <w:lang w:val="zu-ZA"/>
              </w:rPr>
              <w:t>ận tải</w:t>
            </w:r>
            <w:r w:rsidR="00952EA6">
              <w:rPr>
                <w:rFonts w:eastAsia="Times New Roman"/>
                <w:sz w:val="22"/>
                <w:lang w:val="zu-ZA"/>
              </w:rPr>
              <w:t>;</w:t>
            </w:r>
            <w:r w:rsidR="00952EA6" w:rsidRPr="009C0F57">
              <w:rPr>
                <w:rFonts w:eastAsia="Times New Roman"/>
                <w:sz w:val="22"/>
                <w:lang w:val="zu-ZA"/>
              </w:rPr>
              <w:t xml:space="preserve"> </w:t>
            </w:r>
          </w:p>
          <w:p w14:paraId="4BB6F499" w14:textId="77777777" w:rsidR="00952EA6" w:rsidRPr="009C0F57" w:rsidRDefault="00952EA6" w:rsidP="00952EA6">
            <w:pPr>
              <w:rPr>
                <w:rFonts w:eastAsia="Times New Roman"/>
                <w:sz w:val="22"/>
                <w:lang w:val="zu-ZA"/>
              </w:rPr>
            </w:pPr>
            <w:r>
              <w:rPr>
                <w:rFonts w:eastAsia="Times New Roman"/>
                <w:sz w:val="22"/>
                <w:lang w:val="zu-ZA"/>
              </w:rPr>
              <w:t xml:space="preserve">- Chi Nhánh </w:t>
            </w:r>
            <w:r w:rsidRPr="009C0F57">
              <w:rPr>
                <w:rFonts w:eastAsia="Times New Roman"/>
                <w:sz w:val="22"/>
                <w:lang w:val="zu-ZA"/>
              </w:rPr>
              <w:t>Ngân hàng nhà nước</w:t>
            </w:r>
            <w:r>
              <w:rPr>
                <w:rFonts w:eastAsia="Times New Roman"/>
                <w:sz w:val="22"/>
                <w:lang w:val="zu-ZA"/>
              </w:rPr>
              <w:t xml:space="preserve"> tỉnh Kon Tum</w:t>
            </w:r>
            <w:r w:rsidRPr="009C0F57">
              <w:rPr>
                <w:rFonts w:eastAsia="Times New Roman"/>
                <w:sz w:val="22"/>
                <w:lang w:val="zu-ZA"/>
              </w:rPr>
              <w:t>;</w:t>
            </w:r>
          </w:p>
          <w:p w14:paraId="44D2807A" w14:textId="77777777" w:rsidR="00952EA6" w:rsidRDefault="00952EA6" w:rsidP="00952EA6">
            <w:pPr>
              <w:pStyle w:val="BodyTextIndent"/>
              <w:ind w:firstLine="0"/>
              <w:rPr>
                <w:sz w:val="22"/>
                <w:szCs w:val="22"/>
                <w:lang w:val="zu-ZA"/>
              </w:rPr>
            </w:pPr>
            <w:r>
              <w:rPr>
                <w:sz w:val="22"/>
                <w:szCs w:val="22"/>
                <w:lang w:val="zu-ZA"/>
              </w:rPr>
              <w:t>- Liên Minh Hợp tác xã tỉnh;</w:t>
            </w:r>
          </w:p>
          <w:p w14:paraId="5B6504A3" w14:textId="77777777" w:rsidR="00B46D11" w:rsidRDefault="00B46D11" w:rsidP="00EC6FA9">
            <w:pPr>
              <w:pStyle w:val="BodyTextIndent"/>
              <w:ind w:firstLine="0"/>
              <w:rPr>
                <w:sz w:val="22"/>
                <w:szCs w:val="22"/>
                <w:lang w:val="zu-ZA"/>
              </w:rPr>
            </w:pPr>
            <w:r w:rsidRPr="00AD3C2C">
              <w:rPr>
                <w:sz w:val="22"/>
                <w:szCs w:val="22"/>
                <w:lang w:val="zu-ZA"/>
              </w:rPr>
              <w:t>- Thường trực HĐND, UBND các huyện, thành phố;</w:t>
            </w:r>
          </w:p>
          <w:p w14:paraId="54E03D4E" w14:textId="77777777" w:rsidR="00B46D11" w:rsidRDefault="00B46D11" w:rsidP="00EC6FA9">
            <w:pPr>
              <w:pStyle w:val="BodyTextIndent"/>
              <w:ind w:firstLine="0"/>
              <w:rPr>
                <w:sz w:val="22"/>
                <w:szCs w:val="22"/>
                <w:lang w:val="zu-ZA"/>
              </w:rPr>
            </w:pPr>
            <w:r w:rsidRPr="00AD3C2C">
              <w:rPr>
                <w:sz w:val="22"/>
                <w:szCs w:val="22"/>
                <w:lang w:val="zu-ZA"/>
              </w:rPr>
              <w:t>- Văn phòng Đoàn ĐBQH và HĐND tỉnh;</w:t>
            </w:r>
          </w:p>
          <w:p w14:paraId="399CC0D0" w14:textId="77777777" w:rsidR="00B46D11" w:rsidRPr="00AD3C2C" w:rsidRDefault="00B46D11" w:rsidP="00EC6FA9">
            <w:pPr>
              <w:pStyle w:val="BodyTextIndent"/>
              <w:ind w:firstLine="0"/>
              <w:rPr>
                <w:sz w:val="22"/>
                <w:szCs w:val="22"/>
                <w:lang w:val="zu-ZA"/>
              </w:rPr>
            </w:pPr>
            <w:r>
              <w:rPr>
                <w:sz w:val="22"/>
                <w:szCs w:val="22"/>
                <w:lang w:val="zu-ZA"/>
              </w:rPr>
              <w:t>- Các phòng thuộc Văn phòng;</w:t>
            </w:r>
          </w:p>
          <w:p w14:paraId="4D9DBF7B" w14:textId="77777777" w:rsidR="00B46D11" w:rsidRPr="004C10B1" w:rsidRDefault="00B46D11" w:rsidP="00EC6FA9">
            <w:pPr>
              <w:rPr>
                <w:sz w:val="22"/>
              </w:rPr>
            </w:pPr>
            <w:r w:rsidRPr="00AD3C2C">
              <w:rPr>
                <w:sz w:val="22"/>
              </w:rPr>
              <w:t>- Lưu: VT, TH</w:t>
            </w:r>
            <w:r>
              <w:rPr>
                <w:sz w:val="22"/>
              </w:rPr>
              <w:t>.</w:t>
            </w:r>
          </w:p>
        </w:tc>
        <w:tc>
          <w:tcPr>
            <w:tcW w:w="4377" w:type="dxa"/>
            <w:shd w:val="clear" w:color="auto" w:fill="auto"/>
          </w:tcPr>
          <w:p w14:paraId="37C7BC4F" w14:textId="77777777" w:rsidR="00B46D11" w:rsidRPr="00510DEC" w:rsidRDefault="00B46D11" w:rsidP="00EC6FA9">
            <w:pPr>
              <w:jc w:val="center"/>
              <w:rPr>
                <w:b/>
              </w:rPr>
            </w:pPr>
            <w:r>
              <w:rPr>
                <w:b/>
              </w:rPr>
              <w:t>TM. ĐOÀN GIÁM SÁT</w:t>
            </w:r>
          </w:p>
          <w:p w14:paraId="5C1F09AB" w14:textId="02814040" w:rsidR="00B46D11" w:rsidRDefault="00B46D11" w:rsidP="005C5377">
            <w:pPr>
              <w:jc w:val="center"/>
              <w:rPr>
                <w:b/>
              </w:rPr>
            </w:pPr>
            <w:r>
              <w:rPr>
                <w:b/>
              </w:rPr>
              <w:t>TRƯỞNG ĐOÀN</w:t>
            </w:r>
          </w:p>
          <w:p w14:paraId="15908D09" w14:textId="77777777" w:rsidR="004C25CD" w:rsidRDefault="004C25CD" w:rsidP="005C5377">
            <w:pPr>
              <w:jc w:val="center"/>
              <w:rPr>
                <w:b/>
              </w:rPr>
            </w:pPr>
          </w:p>
          <w:p w14:paraId="7A22716D" w14:textId="604DC5C8" w:rsidR="004C25CD" w:rsidRDefault="0018192F" w:rsidP="005C5377">
            <w:pPr>
              <w:jc w:val="center"/>
              <w:rPr>
                <w:b/>
              </w:rPr>
            </w:pPr>
            <w:r>
              <w:rPr>
                <w:b/>
              </w:rPr>
              <w:t>Đã ký</w:t>
            </w:r>
            <w:bookmarkStart w:id="1" w:name="_GoBack"/>
            <w:bookmarkEnd w:id="1"/>
          </w:p>
          <w:p w14:paraId="7E036855" w14:textId="77777777" w:rsidR="004C25CD" w:rsidRDefault="004C25CD" w:rsidP="005C5377">
            <w:pPr>
              <w:jc w:val="center"/>
              <w:rPr>
                <w:b/>
              </w:rPr>
            </w:pPr>
            <w:r>
              <w:rPr>
                <w:b/>
              </w:rPr>
              <w:t>PHÓ CHỦ TỊCH HĐND TỈNH</w:t>
            </w:r>
          </w:p>
          <w:p w14:paraId="6A8364F8" w14:textId="11292FDB" w:rsidR="004C25CD" w:rsidRPr="005C5377" w:rsidRDefault="00A44E99" w:rsidP="005C5377">
            <w:pPr>
              <w:jc w:val="center"/>
              <w:rPr>
                <w:b/>
              </w:rPr>
            </w:pPr>
            <w:r>
              <w:rPr>
                <w:b/>
              </w:rPr>
              <w:t>Nguyễn Thế Hải</w:t>
            </w:r>
          </w:p>
        </w:tc>
      </w:tr>
    </w:tbl>
    <w:p w14:paraId="25757194" w14:textId="69DD0E37" w:rsidR="00F22DB9" w:rsidRDefault="00F22DB9" w:rsidP="00C249B1">
      <w:pPr>
        <w:spacing w:before="120"/>
        <w:rPr>
          <w:b/>
          <w:lang w:val="nl-NL"/>
        </w:rPr>
      </w:pPr>
    </w:p>
    <w:sectPr w:rsidR="00F22DB9" w:rsidSect="00AE4B5C">
      <w:headerReference w:type="default" r:id="rId8"/>
      <w:pgSz w:w="11907" w:h="16840" w:code="9"/>
      <w:pgMar w:top="1134" w:right="1021" w:bottom="851" w:left="164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16FD7" w14:textId="77777777" w:rsidR="00F0641C" w:rsidRDefault="00F0641C">
      <w:r>
        <w:separator/>
      </w:r>
    </w:p>
  </w:endnote>
  <w:endnote w:type="continuationSeparator" w:id="0">
    <w:p w14:paraId="403B6581" w14:textId="77777777" w:rsidR="00F0641C" w:rsidRDefault="00F0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6BD78" w14:textId="77777777" w:rsidR="00F0641C" w:rsidRDefault="00F0641C">
      <w:r>
        <w:separator/>
      </w:r>
    </w:p>
  </w:footnote>
  <w:footnote w:type="continuationSeparator" w:id="0">
    <w:p w14:paraId="053ECD32" w14:textId="77777777" w:rsidR="00F0641C" w:rsidRDefault="00F0641C">
      <w:r>
        <w:continuationSeparator/>
      </w:r>
    </w:p>
  </w:footnote>
  <w:footnote w:id="1">
    <w:p w14:paraId="7818A403" w14:textId="1EFDF5F6" w:rsidR="00CA27D2" w:rsidRPr="00595616" w:rsidRDefault="00CA27D2" w:rsidP="00BD76E7">
      <w:pPr>
        <w:pStyle w:val="FootnoteText"/>
        <w:spacing w:before="0" w:after="40"/>
        <w:ind w:firstLine="567"/>
        <w:rPr>
          <w:lang w:val="en-US"/>
        </w:rPr>
      </w:pPr>
      <w:r w:rsidRPr="00595616">
        <w:rPr>
          <w:vertAlign w:val="superscript"/>
          <w:lang w:val="en-US"/>
        </w:rPr>
        <w:t>(</w:t>
      </w:r>
      <w:r w:rsidRPr="00595616">
        <w:rPr>
          <w:rStyle w:val="FootnoteReference"/>
        </w:rPr>
        <w:footnoteRef/>
      </w:r>
      <w:r w:rsidRPr="00595616">
        <w:rPr>
          <w:vertAlign w:val="superscript"/>
          <w:lang w:val="en-US"/>
        </w:rPr>
        <w:t>)</w:t>
      </w:r>
      <w:r w:rsidR="005E5AA4">
        <w:rPr>
          <w:vertAlign w:val="superscript"/>
          <w:lang w:val="en-US"/>
        </w:rPr>
        <w:t xml:space="preserve"> </w:t>
      </w:r>
      <w:r w:rsidR="005E5AA4" w:rsidRPr="005E5AA4">
        <w:rPr>
          <w:noProof/>
          <w:lang w:val="nl-NL"/>
        </w:rPr>
        <w:t xml:space="preserve">Từ ngày 15/8/2022 </w:t>
      </w:r>
      <w:r w:rsidR="005E5AA4" w:rsidRPr="00710EBE">
        <w:rPr>
          <w:noProof/>
          <w:lang w:val="nl-NL"/>
        </w:rPr>
        <w:t xml:space="preserve">đến ngày </w:t>
      </w:r>
      <w:r w:rsidR="009C2913" w:rsidRPr="00710EBE">
        <w:rPr>
          <w:noProof/>
          <w:lang w:val="nl-NL"/>
        </w:rPr>
        <w:t>21</w:t>
      </w:r>
      <w:r w:rsidR="005E5AA4" w:rsidRPr="00710EBE">
        <w:rPr>
          <w:noProof/>
          <w:lang w:val="nl-NL"/>
        </w:rPr>
        <w:t xml:space="preserve">/9/2022, </w:t>
      </w:r>
      <w:r w:rsidRPr="00710EBE">
        <w:t xml:space="preserve">Đoàn </w:t>
      </w:r>
      <w:r w:rsidRPr="00595616">
        <w:t xml:space="preserve">giám sát đã giám sát trực tiếp </w:t>
      </w:r>
      <w:r w:rsidRPr="00595616">
        <w:rPr>
          <w:noProof/>
          <w:lang w:val="nl-NL"/>
        </w:rPr>
        <w:t>tại UBND tỉnh, các sở</w:t>
      </w:r>
      <w:r w:rsidR="008556AD">
        <w:rPr>
          <w:noProof/>
          <w:lang w:val="nl-NL"/>
        </w:rPr>
        <w:t xml:space="preserve">, ngành: </w:t>
      </w:r>
      <w:r w:rsidR="008556AD" w:rsidRPr="002540C1">
        <w:rPr>
          <w:lang w:val="zu-ZA"/>
        </w:rPr>
        <w:t>Liên minh HTX, Kế hoạch và Đầu tư, Công thương, NN&amp;PTNT, Giao thông -vận tải, Chi nhánh ngân hàng Nhà nước tỉnh;</w:t>
      </w:r>
      <w:r w:rsidRPr="00595616">
        <w:rPr>
          <w:noProof/>
          <w:lang w:val="nl-NL"/>
        </w:rPr>
        <w:t xml:space="preserve"> UBND các huyện: </w:t>
      </w:r>
      <w:r w:rsidR="00C4431A">
        <w:rPr>
          <w:noProof/>
          <w:lang w:val="nl-NL"/>
        </w:rPr>
        <w:t xml:space="preserve">Đăk Tô, Sa Thầy, Kon Rẫy, Ia H’Drai </w:t>
      </w:r>
      <w:r w:rsidRPr="00595616">
        <w:rPr>
          <w:noProof/>
          <w:lang w:val="nl-NL"/>
        </w:rPr>
        <w:t>và thành phố Kon Tum; các huyện còn lại giám sát qua báo cáo</w:t>
      </w:r>
      <w:r w:rsidRPr="00595616">
        <w:rPr>
          <w:lang w:val="en-US"/>
        </w:rPr>
        <w:t>.</w:t>
      </w:r>
    </w:p>
  </w:footnote>
  <w:footnote w:id="2">
    <w:p w14:paraId="25AD58A0" w14:textId="778ACB81" w:rsidR="005E5AA4" w:rsidRPr="00814F7F" w:rsidRDefault="005E5AA4" w:rsidP="00BD76E7">
      <w:pPr>
        <w:pStyle w:val="FootnoteText"/>
        <w:spacing w:before="0" w:after="40"/>
        <w:ind w:firstLine="567"/>
      </w:pPr>
      <w:r w:rsidRPr="00BD76E7">
        <w:rPr>
          <w:vertAlign w:val="superscript"/>
        </w:rPr>
        <w:t>(</w:t>
      </w:r>
      <w:r w:rsidRPr="004157D9">
        <w:rPr>
          <w:rStyle w:val="FootnoteReference"/>
        </w:rPr>
        <w:footnoteRef/>
      </w:r>
      <w:r w:rsidRPr="00BD76E7">
        <w:rPr>
          <w:vertAlign w:val="superscript"/>
        </w:rPr>
        <w:t>)</w:t>
      </w:r>
      <w:r w:rsidR="00B93BAC" w:rsidRPr="00BD76E7">
        <w:rPr>
          <w:vertAlign w:val="superscript"/>
          <w:lang w:val="en-US"/>
        </w:rPr>
        <w:t xml:space="preserve"> </w:t>
      </w:r>
      <w:r w:rsidRPr="00814F7F">
        <w:t xml:space="preserve">Quyết định số 540/QĐ-UBND ngày 29 tháng 7 năm 2013 về thực hiện Kế hoạch số 51-KH/TU; Văn bản số 446/UBND-KTTH  ngày 13 tháng 3 năm 2015 về </w:t>
      </w:r>
      <w:r w:rsidRPr="00814F7F">
        <w:rPr>
          <w:spacing w:val="-2"/>
        </w:rPr>
        <w:t xml:space="preserve">việc triển khai thực hiện Luật </w:t>
      </w:r>
      <w:r w:rsidR="004E4F08">
        <w:rPr>
          <w:spacing w:val="-2"/>
        </w:rPr>
        <w:t>HTX</w:t>
      </w:r>
      <w:r w:rsidRPr="00814F7F">
        <w:rPr>
          <w:spacing w:val="-2"/>
        </w:rPr>
        <w:t xml:space="preserve"> 2012; Quyết định số 269/QĐ-UBND ngày 25 tháng 3 năm 2016 về việc thành lập Ban Chỉ đạo phát triển kinh tế tập thể tỉnh Kon Tum; Quyết định số 181/QĐ-UBND ngày 01 tháng 3 năm 2016 về thành lập Quỹ Hỗ trợ phát triển Hợp tác xã tỉnh Kon Tum; Kế hoạch số 626/KH-UBND ngày 29 tháng 3 năm 2016 về việc tổ chức Cuộc thi Tìm hiểu Luật HTX năm 2012; Kế hoạch số 1647/UBND ngày 21 tháng 7 năm 2016 về thực hiện Chỉ thị số 19/CT-TTg ngày 24 tháng 7 năm 2015 của Thủ tướng Chính phủ về việc đẩy mạnh triển khai thi hành Luật </w:t>
      </w:r>
      <w:r w:rsidR="004E4F08">
        <w:rPr>
          <w:spacing w:val="-2"/>
        </w:rPr>
        <w:t>HTX</w:t>
      </w:r>
      <w:r w:rsidRPr="00814F7F">
        <w:rPr>
          <w:spacing w:val="-2"/>
        </w:rPr>
        <w:t>; Văn bản số 618/UBND-KT</w:t>
      </w:r>
      <w:r w:rsidRPr="00814F7F">
        <w:t xml:space="preserve"> ngày 16 tháng 3 năm 2018 về việc các giải pháp phát triển kinh tế tập thể, </w:t>
      </w:r>
      <w:r w:rsidR="004E4F08">
        <w:t>HTX</w:t>
      </w:r>
      <w:r w:rsidRPr="00814F7F">
        <w:t>…</w:t>
      </w:r>
    </w:p>
  </w:footnote>
  <w:footnote w:id="3">
    <w:p w14:paraId="2F9DC75A" w14:textId="41265A8A" w:rsidR="007562C5" w:rsidRPr="00E033B2" w:rsidRDefault="007562C5" w:rsidP="00BD76E7">
      <w:pPr>
        <w:widowControl w:val="0"/>
        <w:spacing w:after="40"/>
        <w:ind w:firstLine="567"/>
        <w:rPr>
          <w:sz w:val="20"/>
          <w:szCs w:val="20"/>
        </w:rPr>
      </w:pPr>
      <w:r w:rsidRPr="00E033B2">
        <w:rPr>
          <w:sz w:val="20"/>
          <w:szCs w:val="20"/>
          <w:vertAlign w:val="superscript"/>
        </w:rPr>
        <w:t>(</w:t>
      </w:r>
      <w:r w:rsidRPr="00E033B2">
        <w:rPr>
          <w:rStyle w:val="FootnoteReference"/>
          <w:sz w:val="20"/>
          <w:szCs w:val="20"/>
        </w:rPr>
        <w:footnoteRef/>
      </w:r>
      <w:r w:rsidRPr="00E033B2">
        <w:rPr>
          <w:sz w:val="20"/>
          <w:szCs w:val="20"/>
          <w:vertAlign w:val="superscript"/>
        </w:rPr>
        <w:t>)</w:t>
      </w:r>
      <w:r w:rsidRPr="00E033B2">
        <w:rPr>
          <w:sz w:val="20"/>
          <w:szCs w:val="20"/>
        </w:rPr>
        <w:t xml:space="preserve">Tổ chức 02 lớp dạy nghề dệt thổ cẩm, làm chổi đót ngắn hạn </w:t>
      </w:r>
      <w:r w:rsidRPr="00E033B2">
        <w:rPr>
          <w:i/>
          <w:sz w:val="20"/>
          <w:szCs w:val="20"/>
        </w:rPr>
        <w:t>(trong 03 tháng)</w:t>
      </w:r>
      <w:r w:rsidRPr="00E033B2">
        <w:rPr>
          <w:sz w:val="20"/>
          <w:szCs w:val="20"/>
        </w:rPr>
        <w:t xml:space="preserve"> cho người lao động tại HTX Kà Đừ - huyện Sa Thầy với số lượng trên 50 người. Tổ chức 13 lớp bồi dưỡng với hơn 750 người cho các chức danh lãnh đạo, cán bộ dự nguồn HTX. </w:t>
      </w:r>
    </w:p>
  </w:footnote>
  <w:footnote w:id="4">
    <w:p w14:paraId="2E5C5095" w14:textId="14922936" w:rsidR="008442FC" w:rsidRPr="00E033B2" w:rsidRDefault="00623545" w:rsidP="00BD76E7">
      <w:pPr>
        <w:pStyle w:val="FootnoteText"/>
        <w:spacing w:before="0" w:after="40"/>
        <w:ind w:firstLine="567"/>
      </w:pPr>
      <w:r>
        <w:rPr>
          <w:vertAlign w:val="superscript"/>
          <w:lang w:val="en-US"/>
        </w:rPr>
        <w:t>(</w:t>
      </w:r>
      <w:r w:rsidR="008442FC" w:rsidRPr="00E033B2">
        <w:rPr>
          <w:rStyle w:val="FootnoteReference"/>
        </w:rPr>
        <w:footnoteRef/>
      </w:r>
      <w:r>
        <w:rPr>
          <w:vertAlign w:val="superscript"/>
          <w:lang w:val="en-US"/>
        </w:rPr>
        <w:t>)</w:t>
      </w:r>
      <w:r w:rsidR="008442FC" w:rsidRPr="00E033B2">
        <w:t xml:space="preserve"> </w:t>
      </w:r>
      <w:r w:rsidR="008442FC" w:rsidRPr="00E033B2">
        <w:rPr>
          <w:spacing w:val="-2"/>
        </w:rPr>
        <w:t>Điểm giới thiệu và bán các sản phẩm OCOP tại 339 Phan Chu Trinh, thành phố Kon Tum do Công ty TNHH Yến Sào Kon Tum vận hành và tại 70 Lê Hồng Phong, thành phố Kon Tum do HTX Bắc Tây Nguyên Farm vận hành.</w:t>
      </w:r>
    </w:p>
  </w:footnote>
  <w:footnote w:id="5">
    <w:p w14:paraId="2D0CA9A1" w14:textId="2E647CEE" w:rsidR="00135F92" w:rsidRPr="00135F92" w:rsidRDefault="00135F92" w:rsidP="00BD76E7">
      <w:pPr>
        <w:pStyle w:val="FootnoteText"/>
        <w:spacing w:before="0" w:after="40"/>
        <w:ind w:firstLine="567"/>
        <w:rPr>
          <w:lang w:val="en-US"/>
        </w:rPr>
      </w:pPr>
      <w:r>
        <w:rPr>
          <w:vertAlign w:val="superscript"/>
          <w:lang w:val="en-US"/>
        </w:rPr>
        <w:t>(</w:t>
      </w:r>
      <w:r>
        <w:rPr>
          <w:rStyle w:val="FootnoteReference"/>
        </w:rPr>
        <w:footnoteRef/>
      </w:r>
      <w:r>
        <w:rPr>
          <w:vertAlign w:val="superscript"/>
          <w:lang w:val="en-US"/>
        </w:rPr>
        <w:t xml:space="preserve">) </w:t>
      </w:r>
      <w:r w:rsidRPr="00135F92">
        <w:t>HTX nông nghiệp, sản xuất và Thương mại Sáu Nhung</w:t>
      </w:r>
      <w:r w:rsidR="00BB4BA0">
        <w:rPr>
          <w:lang w:val="en-US"/>
        </w:rPr>
        <w:t xml:space="preserve">, </w:t>
      </w:r>
      <w:r w:rsidR="00BB4BA0" w:rsidRPr="00135F92">
        <w:t xml:space="preserve">HTX </w:t>
      </w:r>
      <w:r w:rsidR="00BB4BA0" w:rsidRPr="00135F92">
        <w:rPr>
          <w:color w:val="000000"/>
        </w:rPr>
        <w:t>Tân Sang Hoàng</w:t>
      </w:r>
      <w:r w:rsidR="00BB4BA0">
        <w:rPr>
          <w:color w:val="000000"/>
          <w:lang w:val="en-US"/>
        </w:rPr>
        <w:t>,</w:t>
      </w:r>
      <w:r w:rsidR="006D6548">
        <w:rPr>
          <w:lang w:val="en-US"/>
        </w:rPr>
        <w:t xml:space="preserve"> </w:t>
      </w:r>
      <w:r w:rsidR="00BB4BA0" w:rsidRPr="00135F92">
        <w:t>HTX nông nghiệp công bằng Pô Kô</w:t>
      </w:r>
      <w:r w:rsidR="00BB4BA0">
        <w:rPr>
          <w:lang w:val="en-US"/>
        </w:rPr>
        <w:t xml:space="preserve"> </w:t>
      </w:r>
      <w:r w:rsidR="006D6548">
        <w:rPr>
          <w:lang w:val="en-US"/>
        </w:rPr>
        <w:t>(Đăk Hà)</w:t>
      </w:r>
      <w:r w:rsidRPr="00135F92">
        <w:t>;</w:t>
      </w:r>
      <w:r w:rsidR="006D6548">
        <w:rPr>
          <w:lang w:val="en-US"/>
        </w:rPr>
        <w:t xml:space="preserve"> </w:t>
      </w:r>
      <w:r w:rsidR="006D6548" w:rsidRPr="00135F92">
        <w:t>HTX nông nghiệp và dịch vụ thương mại Rạng Đông</w:t>
      </w:r>
      <w:r w:rsidR="006D6548">
        <w:rPr>
          <w:lang w:val="en-US"/>
        </w:rPr>
        <w:t xml:space="preserve"> (Đăk Tô)</w:t>
      </w:r>
      <w:r w:rsidRPr="00135F92">
        <w:t>; HTX đầu tư và phát triển dược liệu Tu Mơ Rông</w:t>
      </w:r>
      <w:r w:rsidR="006D6548">
        <w:rPr>
          <w:lang w:val="en-US"/>
        </w:rPr>
        <w:t xml:space="preserve">, </w:t>
      </w:r>
      <w:r w:rsidR="006D6548" w:rsidRPr="00135F92">
        <w:t>HTX dược liệu hữu cơ Tu Mơ Rông</w:t>
      </w:r>
      <w:r w:rsidR="006D6548">
        <w:rPr>
          <w:lang w:val="en-US"/>
        </w:rPr>
        <w:t xml:space="preserve">, </w:t>
      </w:r>
      <w:r w:rsidR="006D6548" w:rsidRPr="00135F92">
        <w:t>HTX cộng đồng phụ nữ Đăk viên</w:t>
      </w:r>
      <w:r w:rsidR="006D6548">
        <w:rPr>
          <w:lang w:val="en-US"/>
        </w:rPr>
        <w:t xml:space="preserve"> (Tu Mơ Rông)</w:t>
      </w:r>
      <w:r w:rsidRPr="00135F92">
        <w:t>; HTX rau hoa và du lịch Thanh Niên</w:t>
      </w:r>
      <w:r w:rsidR="006D6548">
        <w:rPr>
          <w:lang w:val="en-US"/>
        </w:rPr>
        <w:t xml:space="preserve">, </w:t>
      </w:r>
      <w:r w:rsidR="006D6548" w:rsidRPr="00135F92">
        <w:t>HTX Trường Tiến Măng Đen</w:t>
      </w:r>
      <w:r w:rsidR="006D6548">
        <w:rPr>
          <w:lang w:val="en-US"/>
        </w:rPr>
        <w:t xml:space="preserve"> (Kon Plông)</w:t>
      </w:r>
      <w:r w:rsidRPr="00135F92">
        <w:t xml:space="preserve">; HTX SX KĐV NNLNXD Đăk </w:t>
      </w:r>
      <w:r w:rsidR="00623545">
        <w:rPr>
          <w:lang w:val="en-US"/>
        </w:rPr>
        <w:t>T</w:t>
      </w:r>
      <w:r w:rsidRPr="00135F92">
        <w:t>ơ lung xanh</w:t>
      </w:r>
      <w:r w:rsidR="006D6548">
        <w:rPr>
          <w:lang w:val="en-US"/>
        </w:rPr>
        <w:t xml:space="preserve"> (Kon Rẫy)</w:t>
      </w:r>
      <w:r w:rsidRPr="00135F92">
        <w:t>; HTX dịch vụ và thương mại Quyết Thắng</w:t>
      </w:r>
      <w:r w:rsidR="00BB4BA0">
        <w:rPr>
          <w:lang w:val="en-US"/>
        </w:rPr>
        <w:t xml:space="preserve"> (Ngọc Hồi)</w:t>
      </w:r>
      <w:r w:rsidR="00BB4BA0">
        <w:rPr>
          <w:color w:val="000000"/>
          <w:lang w:val="en-US"/>
        </w:rPr>
        <w:t>.</w:t>
      </w:r>
      <w:r>
        <w:t xml:space="preserve"> </w:t>
      </w:r>
    </w:p>
  </w:footnote>
  <w:footnote w:id="6">
    <w:p w14:paraId="200C07C2" w14:textId="6B1DF2DA" w:rsidR="00135F92" w:rsidRPr="00135F92" w:rsidRDefault="00135F92" w:rsidP="00BD76E7">
      <w:pPr>
        <w:pStyle w:val="FootnoteText"/>
        <w:spacing w:before="0" w:after="40"/>
        <w:ind w:firstLine="567"/>
      </w:pPr>
      <w:r>
        <w:rPr>
          <w:vertAlign w:val="superscript"/>
          <w:lang w:val="en-US"/>
        </w:rPr>
        <w:t>(</w:t>
      </w:r>
      <w:r>
        <w:rPr>
          <w:rStyle w:val="FootnoteReference"/>
        </w:rPr>
        <w:footnoteRef/>
      </w:r>
      <w:r>
        <w:rPr>
          <w:vertAlign w:val="superscript"/>
          <w:lang w:val="en-US"/>
        </w:rPr>
        <w:t>)</w:t>
      </w:r>
      <w:r w:rsidR="008556AD">
        <w:rPr>
          <w:vertAlign w:val="superscript"/>
          <w:lang w:val="en-US"/>
        </w:rPr>
        <w:t xml:space="preserve"> </w:t>
      </w:r>
      <w:r w:rsidRPr="00A841DE">
        <w:rPr>
          <w:color w:val="000000"/>
        </w:rPr>
        <w:t>HTX rau hoa sứ lạnh Thanh niên Măng Đen</w:t>
      </w:r>
      <w:r w:rsidR="00BB4BA0">
        <w:rPr>
          <w:color w:val="000000"/>
          <w:lang w:val="en-US"/>
        </w:rPr>
        <w:t xml:space="preserve">, </w:t>
      </w:r>
      <w:r w:rsidR="00BB4BA0" w:rsidRPr="00A841DE">
        <w:rPr>
          <w:color w:val="000000"/>
        </w:rPr>
        <w:t>HTX nông nghiệp Tuyết Sơn</w:t>
      </w:r>
      <w:r w:rsidR="00BB4BA0">
        <w:rPr>
          <w:color w:val="000000"/>
          <w:lang w:val="en-US"/>
        </w:rPr>
        <w:t xml:space="preserve"> (Kon Plông)</w:t>
      </w:r>
      <w:r w:rsidRPr="00A841DE">
        <w:rPr>
          <w:color w:val="000000"/>
        </w:rPr>
        <w:t>; HTX SX- TM Sáu Nhung</w:t>
      </w:r>
      <w:r w:rsidR="00BB4BA0">
        <w:rPr>
          <w:color w:val="000000"/>
          <w:lang w:val="en-US"/>
        </w:rPr>
        <w:t xml:space="preserve">, </w:t>
      </w:r>
      <w:r w:rsidR="00BB4BA0" w:rsidRPr="00A841DE">
        <w:rPr>
          <w:color w:val="000000"/>
        </w:rPr>
        <w:t>HTX Kiểu mới sản xuất nông nghiệp &amp; DVTM Hải Tình</w:t>
      </w:r>
      <w:r w:rsidR="00BB4BA0">
        <w:rPr>
          <w:color w:val="000000"/>
          <w:lang w:val="en-US"/>
        </w:rPr>
        <w:t xml:space="preserve"> (Đăk Hà).</w:t>
      </w:r>
      <w:r w:rsidRPr="00A841DE">
        <w:rPr>
          <w:color w:val="000000"/>
        </w:rPr>
        <w:t xml:space="preserve"> </w:t>
      </w:r>
    </w:p>
  </w:footnote>
  <w:footnote w:id="7">
    <w:p w14:paraId="57EF96B6" w14:textId="2D967C97" w:rsidR="008442FC" w:rsidRPr="00E033B2" w:rsidRDefault="008442FC" w:rsidP="00BD76E7">
      <w:pPr>
        <w:pStyle w:val="FootnoteText"/>
        <w:spacing w:before="0" w:after="40"/>
        <w:ind w:firstLine="567"/>
        <w:rPr>
          <w:lang w:val="en-US"/>
        </w:rPr>
      </w:pPr>
      <w:r w:rsidRPr="00E033B2">
        <w:rPr>
          <w:vertAlign w:val="superscript"/>
          <w:lang w:val="en-US"/>
        </w:rPr>
        <w:t>(</w:t>
      </w:r>
      <w:r w:rsidRPr="00E033B2">
        <w:rPr>
          <w:rStyle w:val="FootnoteReference"/>
        </w:rPr>
        <w:footnoteRef/>
      </w:r>
      <w:r w:rsidRPr="00E033B2">
        <w:rPr>
          <w:vertAlign w:val="superscript"/>
          <w:lang w:val="en-US"/>
        </w:rPr>
        <w:t xml:space="preserve">) </w:t>
      </w:r>
      <w:r w:rsidRPr="00E033B2">
        <w:t xml:space="preserve"> </w:t>
      </w:r>
      <w:r w:rsidRPr="00E033B2">
        <w:rPr>
          <w:lang w:val="en-US"/>
        </w:rPr>
        <w:t>Đ</w:t>
      </w:r>
      <w:r w:rsidRPr="00E033B2">
        <w:rPr>
          <w:lang w:val="nl-NL"/>
        </w:rPr>
        <w:t xml:space="preserve">ến nay, tỉnh Kon Tum có 28 sản phẩm được được công nhận là sản phẩm Công nghiệp nông thôn tiêu biểu cấp tỉnh; 09 sản phẩm được công nhận là sản phẩm Công nghiệp nông thôn tiêu biểu cấp khu vực; 03 sản phẩm được Bộ Công </w:t>
      </w:r>
      <w:r w:rsidR="00623545">
        <w:rPr>
          <w:lang w:val="nl-NL"/>
        </w:rPr>
        <w:t>t</w:t>
      </w:r>
      <w:r w:rsidRPr="00E033B2">
        <w:rPr>
          <w:lang w:val="nl-NL"/>
        </w:rPr>
        <w:t xml:space="preserve">hương công nhận sản phẩm công nghiệp nông thôn tiêu biểu cấp Quốc gia: </w:t>
      </w:r>
      <w:r w:rsidRPr="00E033B2">
        <w:rPr>
          <w:spacing w:val="-2"/>
        </w:rPr>
        <w:t>Cà phê Đăk Hà; Cà phê DakMark túi lọc chồn; Nước ép sim rừng.</w:t>
      </w:r>
    </w:p>
  </w:footnote>
  <w:footnote w:id="8">
    <w:p w14:paraId="2274C300" w14:textId="0198C585" w:rsidR="0043102D" w:rsidRPr="00E033B2" w:rsidRDefault="0043102D" w:rsidP="00BD76E7">
      <w:pPr>
        <w:pStyle w:val="FootnoteText"/>
        <w:spacing w:before="0" w:after="40"/>
        <w:ind w:firstLine="567"/>
      </w:pPr>
      <w:r w:rsidRPr="00E033B2">
        <w:rPr>
          <w:vertAlign w:val="superscript"/>
          <w:lang w:val="en-US"/>
        </w:rPr>
        <w:t>(</w:t>
      </w:r>
      <w:r w:rsidRPr="00E033B2">
        <w:rPr>
          <w:rStyle w:val="FootnoteReference"/>
        </w:rPr>
        <w:footnoteRef/>
      </w:r>
      <w:r w:rsidRPr="00E033B2">
        <w:rPr>
          <w:vertAlign w:val="superscript"/>
          <w:lang w:val="en-US"/>
        </w:rPr>
        <w:t>)</w:t>
      </w:r>
      <w:r w:rsidRPr="00E033B2">
        <w:t xml:space="preserve"> </w:t>
      </w:r>
      <w:r w:rsidRPr="00E033B2">
        <w:rPr>
          <w:lang w:val="nl-NL"/>
        </w:rPr>
        <w:t>HTX Thần nông: 95 triệu đồng</w:t>
      </w:r>
      <w:r w:rsidR="00BB4BA0">
        <w:rPr>
          <w:lang w:val="nl-NL"/>
        </w:rPr>
        <w:t>,</w:t>
      </w:r>
      <w:r w:rsidRPr="00E033B2">
        <w:rPr>
          <w:lang w:val="nl-NL"/>
        </w:rPr>
        <w:t xml:space="preserve"> HTX chăn nuôi công nghệ cao: 500 triệu đồng</w:t>
      </w:r>
      <w:r w:rsidR="00BB4BA0">
        <w:rPr>
          <w:lang w:val="nl-NL"/>
        </w:rPr>
        <w:t>,</w:t>
      </w:r>
      <w:r w:rsidRPr="00E033B2">
        <w:rPr>
          <w:lang w:val="nl-NL"/>
        </w:rPr>
        <w:t xml:space="preserve"> HTX đồng hành cùng nhà nông Hoàng Bách 250 triệu đồng</w:t>
      </w:r>
      <w:r w:rsidR="00BB4BA0">
        <w:rPr>
          <w:lang w:val="nl-NL"/>
        </w:rPr>
        <w:t>,</w:t>
      </w:r>
      <w:r w:rsidRPr="00E033B2">
        <w:rPr>
          <w:lang w:val="nl-NL"/>
        </w:rPr>
        <w:t xml:space="preserve"> HTX Đoàn kết 50 triệu đồng</w:t>
      </w:r>
      <w:r w:rsidR="00BB4BA0">
        <w:rPr>
          <w:lang w:val="nl-NL"/>
        </w:rPr>
        <w:t>,</w:t>
      </w:r>
      <w:r w:rsidRPr="00E033B2">
        <w:rPr>
          <w:lang w:val="nl-NL"/>
        </w:rPr>
        <w:t xml:space="preserve"> HTX Nuôi trồng nấm đông trùng hạ thảo Kon Tum </w:t>
      </w:r>
      <w:r w:rsidR="00BB4BA0">
        <w:rPr>
          <w:lang w:val="nl-NL"/>
        </w:rPr>
        <w:t xml:space="preserve">(thành phố Kon Tum) </w:t>
      </w:r>
      <w:r w:rsidRPr="00E033B2">
        <w:rPr>
          <w:lang w:val="nl-NL"/>
        </w:rPr>
        <w:t>500 triệu đồng</w:t>
      </w:r>
      <w:r w:rsidR="00432779">
        <w:rPr>
          <w:lang w:val="nl-NL"/>
        </w:rPr>
        <w:t xml:space="preserve">, </w:t>
      </w:r>
      <w:r w:rsidR="00432779" w:rsidRPr="00D74DE1">
        <w:rPr>
          <w:szCs w:val="28"/>
        </w:rPr>
        <w:t>HTX Nông nghiệp Công Bằng Pô Cô</w:t>
      </w:r>
      <w:r w:rsidR="00BB4BA0">
        <w:rPr>
          <w:szCs w:val="28"/>
          <w:lang w:val="en-US"/>
        </w:rPr>
        <w:t xml:space="preserve"> (Đăk Hà)</w:t>
      </w:r>
      <w:r w:rsidR="00432779" w:rsidRPr="00D74DE1">
        <w:rPr>
          <w:szCs w:val="28"/>
        </w:rPr>
        <w:t xml:space="preserve"> 500 triệu đồng</w:t>
      </w:r>
      <w:r w:rsidRPr="00E033B2">
        <w:rPr>
          <w:lang w:val="nl-NL"/>
        </w:rPr>
        <w:t>...</w:t>
      </w:r>
    </w:p>
  </w:footnote>
  <w:footnote w:id="9">
    <w:p w14:paraId="4CD6190E" w14:textId="2A69C6E4" w:rsidR="00E033B2" w:rsidRPr="000A220E" w:rsidRDefault="00E033B2" w:rsidP="00BD76E7">
      <w:pPr>
        <w:pStyle w:val="FootnoteText"/>
        <w:spacing w:before="0" w:after="40"/>
        <w:ind w:firstLine="567"/>
        <w:rPr>
          <w:lang w:val="nl-NL"/>
        </w:rPr>
      </w:pPr>
      <w:r w:rsidRPr="00EC3404">
        <w:t>(</w:t>
      </w:r>
      <w:r w:rsidRPr="00EC3404">
        <w:rPr>
          <w:rStyle w:val="FootnoteReference"/>
        </w:rPr>
        <w:footnoteRef/>
      </w:r>
      <w:r w:rsidRPr="00EC3404">
        <w:t>)</w:t>
      </w:r>
      <w:r w:rsidR="00672503">
        <w:rPr>
          <w:lang w:val="en-US"/>
        </w:rPr>
        <w:t xml:space="preserve"> </w:t>
      </w:r>
      <w:r w:rsidR="00672503" w:rsidRPr="0014340B">
        <w:rPr>
          <w:spacing w:val="-4"/>
        </w:rPr>
        <w:t>HTX Hợp Thành - Ngọc Hồi; HTX Tuyết Sơn, HTX Ánh Dương - Kon Plông; HTX Sáu Nhung, HTX Cựu quan nhân Đăk Hring, HTX Công bằng Pô Kô - Đăk hà; HTX Thần Nông, Đoàn Kết, Hoàng Bách - TP Kon Tum; HTX Quyết Tâm - Đăk Tô.</w:t>
      </w:r>
    </w:p>
  </w:footnote>
  <w:footnote w:id="10">
    <w:p w14:paraId="0596BE61" w14:textId="13DAD1A5" w:rsidR="00E329FD" w:rsidRPr="00BD76E7" w:rsidRDefault="00DA0E44" w:rsidP="00BD76E7">
      <w:pPr>
        <w:pStyle w:val="FootnoteText"/>
        <w:spacing w:before="0" w:after="40"/>
        <w:ind w:firstLine="567"/>
        <w:rPr>
          <w:lang w:val="nl-NL"/>
        </w:rPr>
      </w:pPr>
      <w:r w:rsidRPr="00BD76E7">
        <w:rPr>
          <w:vertAlign w:val="superscript"/>
          <w:lang w:val="nl-NL"/>
        </w:rPr>
        <w:t>(</w:t>
      </w:r>
      <w:r w:rsidR="00E329FD">
        <w:rPr>
          <w:rStyle w:val="FootnoteReference"/>
        </w:rPr>
        <w:footnoteRef/>
      </w:r>
      <w:r w:rsidRPr="00BD76E7">
        <w:rPr>
          <w:vertAlign w:val="superscript"/>
          <w:lang w:val="nl-NL"/>
        </w:rPr>
        <w:t>)</w:t>
      </w:r>
      <w:r w:rsidR="00E329FD">
        <w:t xml:space="preserve"> </w:t>
      </w:r>
      <w:r w:rsidR="00E329FD" w:rsidRPr="00BD76E7">
        <w:rPr>
          <w:lang w:val="nl-NL"/>
        </w:rPr>
        <w:t>HTX Vạn thành</w:t>
      </w:r>
      <w:r w:rsidR="00E37B83">
        <w:rPr>
          <w:lang w:val="nl-NL"/>
        </w:rPr>
        <w:t xml:space="preserve">, HTX </w:t>
      </w:r>
      <w:r w:rsidR="00E37B83" w:rsidRPr="00E329FD">
        <w:rPr>
          <w:lang w:val="nl-NL"/>
        </w:rPr>
        <w:t>kinh doanh tổng hợp Huy Hoàng</w:t>
      </w:r>
      <w:r w:rsidR="00E37B83">
        <w:rPr>
          <w:lang w:val="nl-NL"/>
        </w:rPr>
        <w:t xml:space="preserve"> (Ngọc Hồi)</w:t>
      </w:r>
      <w:r w:rsidR="00E329FD" w:rsidRPr="00BD76E7">
        <w:rPr>
          <w:lang w:val="nl-NL"/>
        </w:rPr>
        <w:t>; HTX gạch ngói Kon Tum</w:t>
      </w:r>
      <w:r w:rsidR="00E37B83">
        <w:rPr>
          <w:lang w:val="nl-NL"/>
        </w:rPr>
        <w:t>,</w:t>
      </w:r>
      <w:r w:rsidR="00E329FD">
        <w:rPr>
          <w:lang w:val="nl-NL"/>
        </w:rPr>
        <w:t xml:space="preserve"> HTX </w:t>
      </w:r>
      <w:r w:rsidR="00E329FD" w:rsidRPr="00E329FD">
        <w:rPr>
          <w:lang w:val="nl-NL"/>
        </w:rPr>
        <w:t>Trung Tín</w:t>
      </w:r>
      <w:r w:rsidR="00E37B83">
        <w:rPr>
          <w:lang w:val="nl-NL"/>
        </w:rPr>
        <w:t>,</w:t>
      </w:r>
      <w:r w:rsidR="00E329FD">
        <w:rPr>
          <w:lang w:val="nl-NL"/>
        </w:rPr>
        <w:t xml:space="preserve"> </w:t>
      </w:r>
      <w:r w:rsidR="00E329FD" w:rsidRPr="00E329FD">
        <w:rPr>
          <w:lang w:val="nl-NL"/>
        </w:rPr>
        <w:t>HTX Khai thác cát sỏi XD Hội khuyến học tỉnh Kon Tum</w:t>
      </w:r>
      <w:r w:rsidR="00E37B83">
        <w:rPr>
          <w:lang w:val="nl-NL"/>
        </w:rPr>
        <w:t>,</w:t>
      </w:r>
      <w:r w:rsidR="00E329FD">
        <w:rPr>
          <w:lang w:val="nl-NL"/>
        </w:rPr>
        <w:t xml:space="preserve"> </w:t>
      </w:r>
      <w:r w:rsidR="00E329FD" w:rsidRPr="00E329FD">
        <w:rPr>
          <w:lang w:val="nl-NL"/>
        </w:rPr>
        <w:t>HTX tân tiến</w:t>
      </w:r>
      <w:r w:rsidR="00E37B83">
        <w:rPr>
          <w:lang w:val="nl-NL"/>
        </w:rPr>
        <w:t>,</w:t>
      </w:r>
      <w:r w:rsidR="00E329FD">
        <w:rPr>
          <w:lang w:val="nl-NL"/>
        </w:rPr>
        <w:t xml:space="preserve"> HTX </w:t>
      </w:r>
      <w:r w:rsidR="00E329FD" w:rsidRPr="00E329FD">
        <w:rPr>
          <w:lang w:val="nl-NL"/>
        </w:rPr>
        <w:t>xây dựng - Thương mại - Dịch vụ Đạt Tài</w:t>
      </w:r>
      <w:r w:rsidR="00E329FD">
        <w:rPr>
          <w:lang w:val="nl-NL"/>
        </w:rPr>
        <w:t xml:space="preserve">; HTX </w:t>
      </w:r>
      <w:r w:rsidR="00E329FD" w:rsidRPr="00E329FD">
        <w:rPr>
          <w:lang w:val="nl-NL"/>
        </w:rPr>
        <w:t>xây dựng - Thương mại - Dịch vụ Chiến Thắng</w:t>
      </w:r>
      <w:r w:rsidR="00E37B83">
        <w:rPr>
          <w:lang w:val="nl-NL"/>
        </w:rPr>
        <w:t>,</w:t>
      </w:r>
      <w:r w:rsidR="00E37B83" w:rsidRPr="00E37B83">
        <w:rPr>
          <w:lang w:val="nl-NL"/>
        </w:rPr>
        <w:t xml:space="preserve"> </w:t>
      </w:r>
      <w:r w:rsidR="00E37B83">
        <w:rPr>
          <w:lang w:val="nl-NL"/>
        </w:rPr>
        <w:t xml:space="preserve">HTX </w:t>
      </w:r>
      <w:r w:rsidR="00E37B83" w:rsidRPr="00E329FD">
        <w:rPr>
          <w:lang w:val="nl-NL"/>
        </w:rPr>
        <w:t xml:space="preserve"> vận tải cơ giới hàng hóa và hành khách Tây Nguyên</w:t>
      </w:r>
      <w:r w:rsidR="00E37B83">
        <w:rPr>
          <w:lang w:val="nl-NL"/>
        </w:rPr>
        <w:t xml:space="preserve">, </w:t>
      </w:r>
      <w:r w:rsidR="00E37B83" w:rsidRPr="00E06C3F">
        <w:rPr>
          <w:lang w:val="nl-NL"/>
        </w:rPr>
        <w:t>Liên hiệp Hợp tác xã Nông - Công nghiệp xanh Kon Tum</w:t>
      </w:r>
      <w:r w:rsidR="00E37B83">
        <w:rPr>
          <w:lang w:val="nl-NL"/>
        </w:rPr>
        <w:t xml:space="preserve"> (TP Kon Tum),</w:t>
      </w:r>
      <w:r w:rsidR="00E329FD">
        <w:rPr>
          <w:lang w:val="nl-NL"/>
        </w:rPr>
        <w:t xml:space="preserve"> </w:t>
      </w:r>
      <w:r w:rsidR="00E329FD" w:rsidRPr="00E329FD">
        <w:rPr>
          <w:lang w:val="nl-NL"/>
        </w:rPr>
        <w:t>Liên hiệp HTX thương mại TP Hồ Chí Minh</w:t>
      </w:r>
      <w:r w:rsidR="00E329FD">
        <w:rPr>
          <w:lang w:val="nl-NL"/>
        </w:rPr>
        <w:t xml:space="preserve">; HTX </w:t>
      </w:r>
      <w:r w:rsidR="00E329FD" w:rsidRPr="00E329FD">
        <w:rPr>
          <w:lang w:val="nl-NL"/>
        </w:rPr>
        <w:t>rau hoa và du lịch Thanh niên</w:t>
      </w:r>
      <w:r w:rsidR="00E37B83">
        <w:rPr>
          <w:lang w:val="nl-NL"/>
        </w:rPr>
        <w:t>,</w:t>
      </w:r>
      <w:r w:rsidR="00E06C3F">
        <w:rPr>
          <w:lang w:val="nl-NL"/>
        </w:rPr>
        <w:t xml:space="preserve"> HTX </w:t>
      </w:r>
      <w:r w:rsidR="00E06C3F" w:rsidRPr="00E06C3F">
        <w:rPr>
          <w:lang w:val="nl-NL"/>
        </w:rPr>
        <w:t>Lan rừng</w:t>
      </w:r>
      <w:r w:rsidR="00E37B83">
        <w:rPr>
          <w:lang w:val="nl-NL"/>
        </w:rPr>
        <w:t xml:space="preserve">, HTX </w:t>
      </w:r>
      <w:r w:rsidR="00E37B83" w:rsidRPr="00E06C3F">
        <w:rPr>
          <w:lang w:val="nl-NL"/>
        </w:rPr>
        <w:t>nông nghiệp Tuyết Sơn Kon Plông</w:t>
      </w:r>
      <w:r w:rsidR="00E06C3F">
        <w:rPr>
          <w:lang w:val="nl-NL"/>
        </w:rPr>
        <w:t xml:space="preserve"> </w:t>
      </w:r>
      <w:r w:rsidR="00E37B83">
        <w:rPr>
          <w:lang w:val="nl-NL"/>
        </w:rPr>
        <w:t>(Kon Plông)</w:t>
      </w:r>
      <w:r w:rsidR="00E06C3F">
        <w:rPr>
          <w:lang w:val="nl-NL"/>
        </w:rPr>
        <w:t xml:space="preserve">; HTX </w:t>
      </w:r>
      <w:r w:rsidR="00E06C3F" w:rsidRPr="00E06C3F">
        <w:rPr>
          <w:lang w:val="nl-NL"/>
        </w:rPr>
        <w:t>dược liệu hữu cơ Tu Mơ Rông</w:t>
      </w:r>
      <w:r w:rsidR="00E06C3F">
        <w:rPr>
          <w:lang w:val="nl-NL"/>
        </w:rPr>
        <w:t xml:space="preserve">; </w:t>
      </w:r>
      <w:r w:rsidR="00E06C3F" w:rsidRPr="00E06C3F">
        <w:rPr>
          <w:lang w:val="nl-NL"/>
        </w:rPr>
        <w:t>Liên minh HTX tỉnh</w:t>
      </w:r>
      <w:r w:rsidR="00E06C3F">
        <w:rPr>
          <w:lang w:val="nl-NL"/>
        </w:rPr>
        <w:t>.</w:t>
      </w:r>
    </w:p>
  </w:footnote>
  <w:footnote w:id="11">
    <w:p w14:paraId="58AC7DE7" w14:textId="3C6C52FB" w:rsidR="00EE3482" w:rsidRPr="00D75DF5" w:rsidRDefault="00DA0E44" w:rsidP="00BD76E7">
      <w:pPr>
        <w:pStyle w:val="FootnoteText"/>
        <w:spacing w:before="0" w:after="40"/>
        <w:ind w:firstLine="567"/>
      </w:pPr>
      <w:r>
        <w:rPr>
          <w:vertAlign w:val="superscript"/>
          <w:lang w:val="nl-NL"/>
        </w:rPr>
        <w:t>(</w:t>
      </w:r>
      <w:r w:rsidR="00EE3482">
        <w:rPr>
          <w:rStyle w:val="FootnoteReference"/>
        </w:rPr>
        <w:footnoteRef/>
      </w:r>
      <w:r>
        <w:rPr>
          <w:vertAlign w:val="superscript"/>
          <w:lang w:val="nl-NL"/>
        </w:rPr>
        <w:t xml:space="preserve">) </w:t>
      </w:r>
      <w:r w:rsidR="00EE3482">
        <w:t xml:space="preserve"> </w:t>
      </w:r>
      <w:r w:rsidRPr="00A66268">
        <w:rPr>
          <w:szCs w:val="28"/>
          <w:lang w:val="nl-NL"/>
        </w:rPr>
        <w:t>HTX nấm Măng Đen</w:t>
      </w:r>
      <w:r w:rsidR="0018533B">
        <w:rPr>
          <w:szCs w:val="28"/>
          <w:lang w:val="nl-NL"/>
        </w:rPr>
        <w:t>,</w:t>
      </w:r>
      <w:r>
        <w:rPr>
          <w:szCs w:val="28"/>
          <w:lang w:val="nl-NL"/>
        </w:rPr>
        <w:t xml:space="preserve"> </w:t>
      </w:r>
      <w:r w:rsidRPr="00A66268">
        <w:rPr>
          <w:szCs w:val="28"/>
          <w:lang w:val="nl-NL"/>
        </w:rPr>
        <w:t>HTX rau hoa xứ lạnh thanh niên Măng Đen</w:t>
      </w:r>
      <w:r w:rsidR="0018533B">
        <w:rPr>
          <w:szCs w:val="28"/>
          <w:lang w:val="nl-NL"/>
        </w:rPr>
        <w:t xml:space="preserve">, </w:t>
      </w:r>
      <w:r w:rsidR="0018533B" w:rsidRPr="00A66268">
        <w:rPr>
          <w:szCs w:val="28"/>
          <w:lang w:val="nl-NL"/>
        </w:rPr>
        <w:t>HXT nông nhiệp Tuyết Sơn Kon Plong</w:t>
      </w:r>
      <w:r w:rsidR="0018533B">
        <w:rPr>
          <w:szCs w:val="28"/>
          <w:lang w:val="nl-NL"/>
        </w:rPr>
        <w:t xml:space="preserve">, HTX </w:t>
      </w:r>
      <w:r w:rsidR="0018533B" w:rsidRPr="00A66268">
        <w:rPr>
          <w:szCs w:val="28"/>
          <w:lang w:val="nl-NL"/>
        </w:rPr>
        <w:t>Nông nghiệp và Dịch vụ thương mại Trường Tiến Măng Đen</w:t>
      </w:r>
      <w:r w:rsidR="0018533B">
        <w:rPr>
          <w:szCs w:val="28"/>
          <w:lang w:val="nl-NL"/>
        </w:rPr>
        <w:t xml:space="preserve">, </w:t>
      </w:r>
      <w:r w:rsidR="0018533B" w:rsidRPr="00A66268">
        <w:rPr>
          <w:szCs w:val="28"/>
          <w:lang w:val="nl-NL"/>
        </w:rPr>
        <w:t>HTX Minh Đức</w:t>
      </w:r>
      <w:r w:rsidR="0018533B">
        <w:rPr>
          <w:szCs w:val="28"/>
          <w:lang w:val="nl-NL"/>
        </w:rPr>
        <w:t xml:space="preserve">, </w:t>
      </w:r>
      <w:r w:rsidR="0018533B" w:rsidRPr="00A66268">
        <w:rPr>
          <w:szCs w:val="28"/>
          <w:lang w:val="nl-NL"/>
        </w:rPr>
        <w:t>HTX nông, lâm nghiệp, thương mại và dịch vụ Ngọ</w:t>
      </w:r>
      <w:r w:rsidR="0018533B">
        <w:rPr>
          <w:szCs w:val="28"/>
          <w:lang w:val="nl-NL"/>
        </w:rPr>
        <w:t>c T</w:t>
      </w:r>
      <w:r w:rsidR="0018533B" w:rsidRPr="00A66268">
        <w:rPr>
          <w:szCs w:val="28"/>
          <w:lang w:val="nl-NL"/>
        </w:rPr>
        <w:t>em</w:t>
      </w:r>
      <w:r w:rsidR="0018533B">
        <w:rPr>
          <w:szCs w:val="28"/>
          <w:lang w:val="nl-NL"/>
        </w:rPr>
        <w:t xml:space="preserve"> (Kon Plông)</w:t>
      </w:r>
      <w:r>
        <w:rPr>
          <w:szCs w:val="28"/>
          <w:lang w:val="nl-NL"/>
        </w:rPr>
        <w:t xml:space="preserve">; </w:t>
      </w:r>
      <w:r w:rsidRPr="00A66268">
        <w:rPr>
          <w:szCs w:val="28"/>
          <w:lang w:val="nl-NL"/>
        </w:rPr>
        <w:t>HTX nông nghiệp, thương mại và dịch vụ cựu quân nhân Đắk Hring</w:t>
      </w:r>
      <w:r w:rsidR="0018533B">
        <w:rPr>
          <w:szCs w:val="28"/>
          <w:lang w:val="nl-NL"/>
        </w:rPr>
        <w:t>,</w:t>
      </w:r>
      <w:r>
        <w:rPr>
          <w:szCs w:val="28"/>
          <w:lang w:val="nl-NL"/>
        </w:rPr>
        <w:t xml:space="preserve"> </w:t>
      </w:r>
      <w:r w:rsidRPr="00A66268">
        <w:rPr>
          <w:szCs w:val="28"/>
          <w:lang w:val="nl-NL"/>
        </w:rPr>
        <w:t>HTX TM &amp;DV Hợp Nhất</w:t>
      </w:r>
      <w:r>
        <w:rPr>
          <w:szCs w:val="28"/>
          <w:lang w:val="nl-NL"/>
        </w:rPr>
        <w:t xml:space="preserve">; HTX </w:t>
      </w:r>
      <w:r w:rsidRPr="00A66268">
        <w:rPr>
          <w:szCs w:val="28"/>
          <w:lang w:val="nl-NL"/>
        </w:rPr>
        <w:t>SX-TM Sáu Nhung</w:t>
      </w:r>
      <w:r w:rsidR="0018533B">
        <w:rPr>
          <w:szCs w:val="28"/>
          <w:lang w:val="nl-NL"/>
        </w:rPr>
        <w:t>,</w:t>
      </w:r>
      <w:r w:rsidR="00905439">
        <w:rPr>
          <w:szCs w:val="28"/>
          <w:lang w:val="nl-NL"/>
        </w:rPr>
        <w:t xml:space="preserve"> </w:t>
      </w:r>
      <w:r w:rsidR="00905439" w:rsidRPr="00A66268">
        <w:rPr>
          <w:szCs w:val="28"/>
          <w:lang w:val="nl-NL"/>
        </w:rPr>
        <w:t>HTX Kiểu mới SXNN và Dịch vụ thương mại Hải Tình</w:t>
      </w:r>
      <w:r w:rsidR="0018533B">
        <w:rPr>
          <w:szCs w:val="28"/>
          <w:lang w:val="nl-NL"/>
        </w:rPr>
        <w:t>,</w:t>
      </w:r>
      <w:r w:rsidR="00905439">
        <w:rPr>
          <w:szCs w:val="28"/>
          <w:lang w:val="nl-NL"/>
        </w:rPr>
        <w:t xml:space="preserve"> </w:t>
      </w:r>
      <w:r w:rsidR="00905439" w:rsidRPr="00A66268">
        <w:rPr>
          <w:szCs w:val="28"/>
          <w:lang w:val="nl-NL"/>
        </w:rPr>
        <w:t>HTX Nông nghiệp công bằng Pô Kô</w:t>
      </w:r>
      <w:r w:rsidR="00905439">
        <w:rPr>
          <w:szCs w:val="28"/>
          <w:lang w:val="nl-NL"/>
        </w:rPr>
        <w:t xml:space="preserve">; </w:t>
      </w:r>
      <w:r w:rsidR="00905439" w:rsidRPr="00A66268">
        <w:rPr>
          <w:szCs w:val="28"/>
          <w:lang w:val="nl-NL"/>
        </w:rPr>
        <w:t>HTX Nông nghiệp và Thương mại Lộc Phát</w:t>
      </w:r>
      <w:r w:rsidR="00905439">
        <w:rPr>
          <w:szCs w:val="28"/>
          <w:lang w:val="nl-NL"/>
        </w:rPr>
        <w:t xml:space="preserve">; </w:t>
      </w:r>
      <w:r w:rsidR="00905439" w:rsidRPr="00A66268">
        <w:rPr>
          <w:szCs w:val="28"/>
          <w:lang w:val="nl-NL"/>
        </w:rPr>
        <w:t>HTX Dược liệu Hữu cơ Tu Mơ Rông</w:t>
      </w:r>
      <w:r w:rsidR="0018533B">
        <w:rPr>
          <w:szCs w:val="28"/>
          <w:lang w:val="nl-NL"/>
        </w:rPr>
        <w:t>,</w:t>
      </w:r>
      <w:r w:rsidR="00905439">
        <w:rPr>
          <w:szCs w:val="28"/>
          <w:lang w:val="nl-NL"/>
        </w:rPr>
        <w:t xml:space="preserve"> HTX </w:t>
      </w:r>
      <w:r w:rsidR="00905439" w:rsidRPr="00A66268">
        <w:rPr>
          <w:szCs w:val="28"/>
          <w:lang w:val="nl-NL"/>
        </w:rPr>
        <w:t>Tân Sang Hoàng</w:t>
      </w:r>
      <w:r w:rsidR="0018533B">
        <w:rPr>
          <w:szCs w:val="28"/>
          <w:lang w:val="nl-NL"/>
        </w:rPr>
        <w:t>,</w:t>
      </w:r>
      <w:r w:rsidR="00905439">
        <w:rPr>
          <w:szCs w:val="28"/>
          <w:lang w:val="nl-NL"/>
        </w:rPr>
        <w:t xml:space="preserve"> </w:t>
      </w:r>
      <w:r w:rsidR="00905439" w:rsidRPr="00A66268">
        <w:rPr>
          <w:szCs w:val="28"/>
          <w:lang w:val="nl-NL"/>
        </w:rPr>
        <w:t>HTX Nông nghiệp và dịch vụ, thương mại Rạng Đông</w:t>
      </w:r>
      <w:r w:rsidR="0018533B">
        <w:rPr>
          <w:szCs w:val="28"/>
          <w:lang w:val="nl-NL"/>
        </w:rPr>
        <w:t xml:space="preserve">, </w:t>
      </w:r>
      <w:r w:rsidR="0018533B" w:rsidRPr="00A66268">
        <w:rPr>
          <w:szCs w:val="28"/>
          <w:lang w:val="nl-NL"/>
        </w:rPr>
        <w:t>HTX Nông nghiệp dịch vụ thế hệ mới Đăk Mar</w:t>
      </w:r>
      <w:r w:rsidR="0018533B">
        <w:rPr>
          <w:szCs w:val="28"/>
          <w:lang w:val="nl-NL"/>
        </w:rPr>
        <w:t xml:space="preserve"> (Đăk Hà)</w:t>
      </w:r>
      <w:r w:rsidR="00905439">
        <w:rPr>
          <w:szCs w:val="28"/>
          <w:lang w:val="nl-NL"/>
        </w:rPr>
        <w:t xml:space="preserve">; HTX </w:t>
      </w:r>
      <w:r w:rsidR="00905439" w:rsidRPr="00A66268">
        <w:rPr>
          <w:szCs w:val="28"/>
          <w:lang w:val="nl-NL"/>
        </w:rPr>
        <w:t>Tiến Đạt</w:t>
      </w:r>
      <w:r w:rsidR="00905439">
        <w:rPr>
          <w:szCs w:val="28"/>
          <w:lang w:val="nl-NL"/>
        </w:rPr>
        <w:t xml:space="preserve">; HTX </w:t>
      </w:r>
      <w:r w:rsidR="00905439" w:rsidRPr="00A66268">
        <w:rPr>
          <w:szCs w:val="28"/>
          <w:lang w:val="nl-NL"/>
        </w:rPr>
        <w:t>Phượng Hoàng Tân Cảnh</w:t>
      </w:r>
      <w:r w:rsidR="0018533B">
        <w:rPr>
          <w:szCs w:val="28"/>
          <w:lang w:val="nl-NL"/>
        </w:rPr>
        <w:t xml:space="preserve"> (Đăk Tô)</w:t>
      </w:r>
      <w:r w:rsidR="00905439">
        <w:rPr>
          <w:szCs w:val="28"/>
          <w:lang w:val="nl-NL"/>
        </w:rPr>
        <w:t xml:space="preserve">; HTX </w:t>
      </w:r>
      <w:r w:rsidR="00905439" w:rsidRPr="00A66268">
        <w:rPr>
          <w:szCs w:val="28"/>
          <w:lang w:val="nl-NL"/>
        </w:rPr>
        <w:t>nuôi trồng nấm đông trùng hạ thảo Kon Tum</w:t>
      </w:r>
      <w:r w:rsidR="0018533B">
        <w:rPr>
          <w:szCs w:val="28"/>
          <w:lang w:val="nl-NL"/>
        </w:rPr>
        <w:t>,</w:t>
      </w:r>
      <w:r w:rsidR="00905439">
        <w:rPr>
          <w:szCs w:val="28"/>
          <w:lang w:val="nl-NL"/>
        </w:rPr>
        <w:t xml:space="preserve"> </w:t>
      </w:r>
      <w:r w:rsidR="00905439" w:rsidRPr="00A66268">
        <w:rPr>
          <w:szCs w:val="28"/>
          <w:lang w:val="nl-NL"/>
        </w:rPr>
        <w:t>HTX dược liệu Xuân Hùng</w:t>
      </w:r>
      <w:r w:rsidR="00905439">
        <w:rPr>
          <w:szCs w:val="28"/>
          <w:lang w:val="nl-NL"/>
        </w:rPr>
        <w:t xml:space="preserve">; </w:t>
      </w:r>
      <w:r w:rsidR="00905439" w:rsidRPr="00A66268">
        <w:rPr>
          <w:szCs w:val="28"/>
          <w:lang w:val="nl-NL"/>
        </w:rPr>
        <w:t>HTX Đoàn Kết</w:t>
      </w:r>
      <w:r w:rsidR="0018533B">
        <w:rPr>
          <w:szCs w:val="28"/>
          <w:lang w:val="nl-NL"/>
        </w:rPr>
        <w:t xml:space="preserve"> (TP Kon Tum)</w:t>
      </w:r>
      <w:r w:rsidR="00905439">
        <w:rPr>
          <w:szCs w:val="28"/>
          <w:lang w:val="nl-NL"/>
        </w:rPr>
        <w:t xml:space="preserve">; </w:t>
      </w:r>
      <w:r w:rsidR="00905439" w:rsidRPr="00A66268">
        <w:rPr>
          <w:szCs w:val="28"/>
          <w:lang w:val="nl-NL"/>
        </w:rPr>
        <w:t>HTX Dục Nông</w:t>
      </w:r>
      <w:r w:rsidR="0018533B">
        <w:rPr>
          <w:szCs w:val="28"/>
          <w:lang w:val="nl-NL"/>
        </w:rPr>
        <w:t xml:space="preserve">, </w:t>
      </w:r>
      <w:r w:rsidR="0018533B" w:rsidRPr="00A66268">
        <w:rPr>
          <w:szCs w:val="28"/>
          <w:lang w:val="nl-NL"/>
        </w:rPr>
        <w:t>HTX Vạn Thành</w:t>
      </w:r>
      <w:r w:rsidR="0018533B">
        <w:rPr>
          <w:szCs w:val="28"/>
          <w:lang w:val="nl-NL"/>
        </w:rPr>
        <w:t xml:space="preserve"> (Ngọc Hồi)</w:t>
      </w:r>
      <w:r w:rsidR="00905439">
        <w:rPr>
          <w:szCs w:val="28"/>
          <w:lang w:val="nl-NL"/>
        </w:rPr>
        <w:t>.</w:t>
      </w:r>
    </w:p>
  </w:footnote>
  <w:footnote w:id="12">
    <w:p w14:paraId="602CE849" w14:textId="7A51F004" w:rsidR="004A7CEB" w:rsidRPr="004A7CEB" w:rsidRDefault="004A7CEB" w:rsidP="00BD76E7">
      <w:pPr>
        <w:pStyle w:val="FootnoteText"/>
        <w:spacing w:before="0" w:after="40"/>
        <w:ind w:firstLine="567"/>
      </w:pPr>
      <w:r w:rsidRPr="004A7CEB">
        <w:rPr>
          <w:vertAlign w:val="superscript"/>
          <w:lang w:val="nl-NL"/>
        </w:rPr>
        <w:t>(</w:t>
      </w:r>
      <w:r>
        <w:rPr>
          <w:rStyle w:val="FootnoteReference"/>
        </w:rPr>
        <w:footnoteRef/>
      </w:r>
      <w:r w:rsidRPr="004A7CEB">
        <w:rPr>
          <w:vertAlign w:val="superscript"/>
          <w:lang w:val="nl-NL"/>
        </w:rPr>
        <w:t>)</w:t>
      </w:r>
      <w:r>
        <w:t xml:space="preserve"> </w:t>
      </w:r>
      <w:r w:rsidRPr="006C658A">
        <w:t>HTX Rau hoa và du lịch thanh niên Măng đen</w:t>
      </w:r>
      <w:r w:rsidR="0018533B">
        <w:rPr>
          <w:lang w:val="en-US"/>
        </w:rPr>
        <w:t xml:space="preserve"> (Kon Plông)</w:t>
      </w:r>
      <w:r w:rsidRPr="006C658A">
        <w:t>; HTX Nuôi trồng Nấm đông trùng hạ thảo</w:t>
      </w:r>
      <w:r w:rsidR="0018533B">
        <w:rPr>
          <w:lang w:val="en-US"/>
        </w:rPr>
        <w:t xml:space="preserve"> TP Kon Tum)</w:t>
      </w:r>
      <w:r w:rsidRPr="006C658A">
        <w:t>; HTX Sản xuất và dịch vụ thương mại Sáu Nhung</w:t>
      </w:r>
      <w:r w:rsidR="0018533B">
        <w:rPr>
          <w:lang w:val="en-US"/>
        </w:rPr>
        <w:t>,</w:t>
      </w:r>
      <w:r w:rsidRPr="006C658A">
        <w:t xml:space="preserve"> HTX Nông nghiệp công nghệ cao Bắc Tây Nguyên Famr</w:t>
      </w:r>
      <w:r w:rsidR="0018533B">
        <w:rPr>
          <w:lang w:val="en-US"/>
        </w:rPr>
        <w:t>,</w:t>
      </w:r>
      <w:r w:rsidRPr="006C658A">
        <w:t xml:space="preserve"> HTX N</w:t>
      </w:r>
      <w:r>
        <w:t>ông nghiệp dịch vụ Thế hệ mới Đă</w:t>
      </w:r>
      <w:r w:rsidRPr="006C658A">
        <w:t>k Mar</w:t>
      </w:r>
      <w:r w:rsidR="0018533B">
        <w:rPr>
          <w:lang w:val="en-US"/>
        </w:rPr>
        <w:t>,</w:t>
      </w:r>
      <w:r w:rsidRPr="006C658A">
        <w:t xml:space="preserve"> HTX Nông nghiệp Công bằng Pô Cô</w:t>
      </w:r>
      <w:r w:rsidR="0018533B">
        <w:rPr>
          <w:lang w:val="en-US"/>
        </w:rPr>
        <w:t xml:space="preserve"> (Đăk Hà)</w:t>
      </w:r>
      <w:r w:rsidRPr="006C658A">
        <w:t>; ….</w:t>
      </w:r>
    </w:p>
  </w:footnote>
  <w:footnote w:id="13">
    <w:p w14:paraId="2A40B5B5" w14:textId="16974765" w:rsidR="00152085" w:rsidRPr="00152085" w:rsidRDefault="00152085" w:rsidP="00BD76E7">
      <w:pPr>
        <w:pStyle w:val="FootnoteText"/>
        <w:spacing w:before="0" w:after="40"/>
        <w:ind w:firstLine="567"/>
        <w:rPr>
          <w:lang w:val="en-US"/>
        </w:rPr>
      </w:pPr>
      <w:r>
        <w:rPr>
          <w:vertAlign w:val="superscript"/>
          <w:lang w:val="en-US"/>
        </w:rPr>
        <w:t>(</w:t>
      </w:r>
      <w:r>
        <w:rPr>
          <w:rStyle w:val="FootnoteReference"/>
        </w:rPr>
        <w:footnoteRef/>
      </w:r>
      <w:r>
        <w:rPr>
          <w:vertAlign w:val="superscript"/>
          <w:lang w:val="en-US"/>
        </w:rPr>
        <w:t xml:space="preserve">) </w:t>
      </w:r>
      <w:r>
        <w:rPr>
          <w:lang w:val="en-US"/>
        </w:rPr>
        <w:t xml:space="preserve">HTX </w:t>
      </w:r>
      <w:r w:rsidRPr="00152085">
        <w:rPr>
          <w:lang w:val="vi-VN"/>
        </w:rPr>
        <w:t>Sản xuất nông nghiệp Dịch vụ thương mại Cao nguyên Cofee</w:t>
      </w:r>
      <w:r w:rsidR="0018533B">
        <w:rPr>
          <w:lang w:val="en-US"/>
        </w:rPr>
        <w:t>,</w:t>
      </w:r>
      <w:r>
        <w:rPr>
          <w:lang w:val="en-US"/>
        </w:rPr>
        <w:t xml:space="preserve"> HTX Liên kết Xanh Ya chim</w:t>
      </w:r>
      <w:r w:rsidR="0018533B">
        <w:rPr>
          <w:lang w:val="en-US"/>
        </w:rPr>
        <w:t>,</w:t>
      </w:r>
      <w:r>
        <w:rPr>
          <w:lang w:val="en-US"/>
        </w:rPr>
        <w:t xml:space="preserve"> HTX </w:t>
      </w:r>
      <w:r w:rsidRPr="00152085">
        <w:rPr>
          <w:lang w:val="vi-VN"/>
        </w:rPr>
        <w:t>NN&amp;DVTM Ia Chim</w:t>
      </w:r>
      <w:r w:rsidR="0018533B">
        <w:rPr>
          <w:lang w:val="en-US"/>
        </w:rPr>
        <w:t xml:space="preserve"> (TP Kon Tum)</w:t>
      </w:r>
      <w:r>
        <w:rPr>
          <w:lang w:val="en-US"/>
        </w:rPr>
        <w:t>; HTX</w:t>
      </w:r>
      <w:r>
        <w:t xml:space="preserve"> nông nghiệp Minh </w:t>
      </w:r>
      <w:r w:rsidRPr="00E24C15">
        <w:t>Phúc</w:t>
      </w:r>
      <w:r w:rsidR="0018533B">
        <w:rPr>
          <w:lang w:val="en-US"/>
        </w:rPr>
        <w:t>,</w:t>
      </w:r>
      <w:r>
        <w:rPr>
          <w:lang w:val="en-US"/>
        </w:rPr>
        <w:t xml:space="preserve"> HTX</w:t>
      </w:r>
      <w:r>
        <w:rPr>
          <w:lang w:val="nl-NL"/>
        </w:rPr>
        <w:t xml:space="preserve"> Sê San</w:t>
      </w:r>
      <w:r w:rsidR="0018533B">
        <w:rPr>
          <w:lang w:val="nl-NL"/>
        </w:rPr>
        <w:t xml:space="preserve"> (Ia H’Drai)</w:t>
      </w:r>
      <w:r>
        <w:rPr>
          <w:lang w:val="nl-NL"/>
        </w:rPr>
        <w:t xml:space="preserve">; </w:t>
      </w:r>
      <w:r w:rsidRPr="000842B8">
        <w:t xml:space="preserve">HTX </w:t>
      </w:r>
      <w:r w:rsidRPr="000842B8">
        <w:rPr>
          <w:iCs/>
        </w:rPr>
        <w:t>dịch vụ sản xuất, kinh doanh dịch vụ nông nghiệp, lâm nghiệp, xây dự</w:t>
      </w:r>
      <w:r>
        <w:rPr>
          <w:iCs/>
        </w:rPr>
        <w:t xml:space="preserve">ng </w:t>
      </w:r>
      <w:r w:rsidRPr="000842B8">
        <w:t>Đăk Tờ Lung Xanh</w:t>
      </w:r>
      <w:r w:rsidR="0018533B">
        <w:rPr>
          <w:lang w:val="en-US"/>
        </w:rPr>
        <w:t xml:space="preserve"> (Kon Rẫy)</w:t>
      </w:r>
      <w:r>
        <w:rPr>
          <w:lang w:val="en-US"/>
        </w:rPr>
        <w:t>; HTX Thái Thanh</w:t>
      </w:r>
      <w:r w:rsidR="0018533B">
        <w:rPr>
          <w:lang w:val="en-US"/>
        </w:rPr>
        <w:t xml:space="preserve"> (Sa Thầy)</w:t>
      </w:r>
      <w:r>
        <w:rPr>
          <w:lang w:val="en-US"/>
        </w:rPr>
        <w:t>…</w:t>
      </w:r>
      <w:r>
        <w:t xml:space="preserve">. </w:t>
      </w:r>
    </w:p>
  </w:footnote>
  <w:footnote w:id="14">
    <w:p w14:paraId="65377F8B" w14:textId="7AC404B0" w:rsidR="00152085" w:rsidRDefault="00F91D74" w:rsidP="00BD76E7">
      <w:pPr>
        <w:pStyle w:val="FootnoteText"/>
        <w:spacing w:before="0" w:after="40"/>
        <w:ind w:firstLine="567"/>
      </w:pPr>
      <w:r>
        <w:rPr>
          <w:vertAlign w:val="superscript"/>
          <w:lang w:val="en-US"/>
        </w:rPr>
        <w:t>(</w:t>
      </w:r>
      <w:r w:rsidR="00152085">
        <w:rPr>
          <w:rStyle w:val="FootnoteReference"/>
        </w:rPr>
        <w:footnoteRef/>
      </w:r>
      <w:r>
        <w:rPr>
          <w:vertAlign w:val="superscript"/>
          <w:lang w:val="en-US"/>
        </w:rPr>
        <w:t>)</w:t>
      </w:r>
      <w:r w:rsidR="00152085">
        <w:t xml:space="preserve"> </w:t>
      </w:r>
      <w:r w:rsidR="004E4F08">
        <w:rPr>
          <w:rFonts w:eastAsia="Arial"/>
          <w:color w:val="252525"/>
        </w:rPr>
        <w:t>HTX</w:t>
      </w:r>
      <w:r w:rsidR="00152085" w:rsidRPr="00FE7AA8">
        <w:rPr>
          <w:rFonts w:eastAsia="Arial"/>
          <w:color w:val="252525"/>
        </w:rPr>
        <w:t xml:space="preserve"> Nông nghiệp và dịch vụ thương mại Rạng Đông</w:t>
      </w:r>
      <w:r w:rsidR="0018533B">
        <w:rPr>
          <w:rFonts w:eastAsia="Arial"/>
          <w:color w:val="252525"/>
          <w:lang w:val="en-US"/>
        </w:rPr>
        <w:t xml:space="preserve"> (Đăk Hà)</w:t>
      </w:r>
      <w:r w:rsidR="00152085">
        <w:rPr>
          <w:rFonts w:eastAsia="Arial"/>
          <w:color w:val="252525"/>
        </w:rPr>
        <w:t xml:space="preserve">; </w:t>
      </w:r>
      <w:r w:rsidR="004E4F08">
        <w:t>HTX</w:t>
      </w:r>
      <w:r w:rsidR="00152085">
        <w:t xml:space="preserve"> thảo dược cộng đồng Văn Lem (Đăk Tô)</w:t>
      </w:r>
      <w:r w:rsidR="00BD44F4">
        <w:rPr>
          <w:lang w:val="en-US"/>
        </w:rPr>
        <w:t>;</w:t>
      </w:r>
      <w:r w:rsidR="00152085">
        <w:t xml:space="preserve"> </w:t>
      </w:r>
      <w:r w:rsidR="004E4F08">
        <w:t>HTX</w:t>
      </w:r>
      <w:r w:rsidR="00152085" w:rsidRPr="000842B8">
        <w:t xml:space="preserve"> </w:t>
      </w:r>
      <w:r w:rsidR="00152085" w:rsidRPr="000842B8">
        <w:rPr>
          <w:iCs/>
        </w:rPr>
        <w:t xml:space="preserve">dịch vụ sản xuất, kinh doanh dịch vụ nông nghiệp, lâm nghiệp, xây dựng </w:t>
      </w:r>
      <w:r w:rsidR="00152085" w:rsidRPr="000842B8">
        <w:t xml:space="preserve">Đăk Tờ Lung Xanh </w:t>
      </w:r>
      <w:r w:rsidR="00152085">
        <w:t>(</w:t>
      </w:r>
      <w:r w:rsidR="00152085" w:rsidRPr="000842B8">
        <w:t>có họp hội đồng thành viên để phân chia lợi nhuận theo tỷ lệ góp vốn (</w:t>
      </w:r>
      <w:r w:rsidR="00152085" w:rsidRPr="000842B8">
        <w:rPr>
          <w:i/>
          <w:iCs/>
        </w:rPr>
        <w:t>lợi nhuận cao nhất là 48 triệu đồng/ năm; thấp nhất là 4,8 triệu đồng</w:t>
      </w:r>
      <w:r w:rsidR="00152085" w:rsidRPr="000842B8">
        <w:t>)</w:t>
      </w:r>
      <w:r w:rsidR="00152085">
        <w:t>)</w:t>
      </w:r>
      <w:r w:rsidR="00152085" w:rsidRPr="000842B8">
        <w:t xml:space="preserve">; </w:t>
      </w:r>
      <w:r w:rsidR="004E4F08">
        <w:t>HTX</w:t>
      </w:r>
      <w:r w:rsidR="00152085" w:rsidRPr="000842B8">
        <w:t xml:space="preserve"> </w:t>
      </w:r>
      <w:r w:rsidR="00152085" w:rsidRPr="008D6545">
        <w:rPr>
          <w:iCs/>
          <w:color w:val="000000"/>
          <w:lang w:val="nl-NL"/>
        </w:rPr>
        <w:t xml:space="preserve">sản xuất, kinh doanh dịch vụ nông nghiệp tổng hợp; </w:t>
      </w:r>
      <w:r w:rsidR="004E4F08">
        <w:rPr>
          <w:iCs/>
          <w:color w:val="000000"/>
          <w:lang w:val="nl-NL"/>
        </w:rPr>
        <w:t>HTX</w:t>
      </w:r>
      <w:r w:rsidR="00152085" w:rsidRPr="008D6545">
        <w:rPr>
          <w:iCs/>
          <w:color w:val="000000"/>
          <w:lang w:val="nl-NL"/>
        </w:rPr>
        <w:t xml:space="preserve"> nông nghiệp và dịch vụ Hoa Nam (Kon Rẫy)</w:t>
      </w:r>
      <w:r w:rsidR="00152085">
        <w:rPr>
          <w:iCs/>
          <w:color w:val="000000"/>
          <w:lang w:val="nl-NL"/>
        </w:rPr>
        <w:t>; HTX Thái Thanh (Sa Thầy)...</w:t>
      </w:r>
    </w:p>
  </w:footnote>
  <w:footnote w:id="15">
    <w:p w14:paraId="1D24DB27" w14:textId="4CF4C65A" w:rsidR="00152085" w:rsidRPr="000842B8" w:rsidRDefault="00F91D74" w:rsidP="00BD76E7">
      <w:pPr>
        <w:pStyle w:val="FootnoteText"/>
        <w:spacing w:before="0" w:after="40"/>
        <w:ind w:firstLine="567"/>
      </w:pPr>
      <w:r>
        <w:rPr>
          <w:vertAlign w:val="superscript"/>
          <w:lang w:val="en-US"/>
        </w:rPr>
        <w:t>(</w:t>
      </w:r>
      <w:r w:rsidR="00152085" w:rsidRPr="000842B8">
        <w:rPr>
          <w:rStyle w:val="FootnoteReference"/>
        </w:rPr>
        <w:footnoteRef/>
      </w:r>
      <w:r>
        <w:rPr>
          <w:vertAlign w:val="superscript"/>
          <w:lang w:val="en-US"/>
        </w:rPr>
        <w:t>)</w:t>
      </w:r>
      <w:r w:rsidR="00152085" w:rsidRPr="000842B8">
        <w:t xml:space="preserve"> HTX </w:t>
      </w:r>
      <w:r w:rsidR="00152085" w:rsidRPr="008D6545">
        <w:rPr>
          <w:iCs/>
          <w:color w:val="000000"/>
          <w:lang w:val="nl-NL"/>
        </w:rPr>
        <w:t xml:space="preserve">Trung Lộ Quán, Nông nghiệp và dịch vụ Hoa Nam (Kon Rẫy); </w:t>
      </w:r>
      <w:r w:rsidR="00BD44F4">
        <w:rPr>
          <w:iCs/>
          <w:color w:val="000000"/>
          <w:lang w:val="nl-NL"/>
        </w:rPr>
        <w:t xml:space="preserve">HTX </w:t>
      </w:r>
      <w:r w:rsidR="00152085" w:rsidRPr="008D6545">
        <w:rPr>
          <w:iCs/>
          <w:color w:val="000000"/>
          <w:lang w:val="nl-NL"/>
        </w:rPr>
        <w:t>Nông nghiệp Hai Dũng, Nông nghiệp và Xây dựng Suối Cát (Ia HDrai)...</w:t>
      </w:r>
    </w:p>
  </w:footnote>
  <w:footnote w:id="16">
    <w:p w14:paraId="588ED866" w14:textId="4F15061D" w:rsidR="001A723B" w:rsidRPr="00F91D74" w:rsidRDefault="001A723B" w:rsidP="00BD76E7">
      <w:pPr>
        <w:pStyle w:val="FootnoteText"/>
        <w:spacing w:before="0" w:after="40"/>
        <w:ind w:firstLine="567"/>
        <w:rPr>
          <w:lang w:val="en-US"/>
        </w:rPr>
      </w:pPr>
      <w:r>
        <w:rPr>
          <w:vertAlign w:val="superscript"/>
          <w:lang w:val="en-US"/>
        </w:rPr>
        <w:t>(</w:t>
      </w:r>
      <w:r>
        <w:rPr>
          <w:rStyle w:val="FootnoteReference"/>
        </w:rPr>
        <w:footnoteRef/>
      </w:r>
      <w:r>
        <w:rPr>
          <w:vertAlign w:val="superscript"/>
          <w:lang w:val="en-US"/>
        </w:rPr>
        <w:t xml:space="preserve">) </w:t>
      </w:r>
      <w:r>
        <w:t xml:space="preserve"> </w:t>
      </w:r>
      <w:r>
        <w:rPr>
          <w:lang w:val="nl-NL"/>
        </w:rPr>
        <w:t xml:space="preserve">Thành phố Kon Tum: </w:t>
      </w:r>
      <w:r w:rsidR="00396F32">
        <w:rPr>
          <w:lang w:val="nl-NL"/>
        </w:rPr>
        <w:t xml:space="preserve">báo cáo có 02 HTX ngừng hoạt động, thực tế giám sát có đến </w:t>
      </w:r>
      <w:r w:rsidRPr="00950FD9">
        <w:rPr>
          <w:lang w:val="nl-NL"/>
        </w:rPr>
        <w:t>1</w:t>
      </w:r>
      <w:r>
        <w:rPr>
          <w:lang w:val="nl-NL"/>
        </w:rPr>
        <w:t>6</w:t>
      </w:r>
      <w:r w:rsidRPr="00950FD9">
        <w:rPr>
          <w:lang w:val="nl-NL"/>
        </w:rPr>
        <w:t xml:space="preserve"> HTX</w:t>
      </w:r>
      <w:r w:rsidR="00396F32">
        <w:rPr>
          <w:lang w:val="nl-NL"/>
        </w:rPr>
        <w:t xml:space="preserve"> ngừng hoạt động</w:t>
      </w:r>
      <w:r w:rsidR="00546EB9">
        <w:rPr>
          <w:lang w:val="nl-NL"/>
        </w:rPr>
        <w:t xml:space="preserve"> </w:t>
      </w:r>
      <w:r w:rsidR="00546EB9" w:rsidRPr="002540C1">
        <w:rPr>
          <w:i/>
          <w:lang w:val="nl-NL"/>
        </w:rPr>
        <w:t xml:space="preserve">(số HTX hoạt động trung bình: 5/15 HTX </w:t>
      </w:r>
      <w:r w:rsidR="00F24F02">
        <w:rPr>
          <w:i/>
          <w:lang w:val="nl-NL"/>
        </w:rPr>
        <w:t xml:space="preserve"> nhưng 05 HTX loại này đã </w:t>
      </w:r>
      <w:r w:rsidR="00546EB9" w:rsidRPr="002540C1">
        <w:rPr>
          <w:i/>
          <w:lang w:val="nl-NL"/>
        </w:rPr>
        <w:t>ngừng hoạt động; số HTX hoạt động còn hạn chế: 11/11 HTX</w:t>
      </w:r>
      <w:r w:rsidR="00F24F02">
        <w:rPr>
          <w:i/>
          <w:lang w:val="nl-NL"/>
        </w:rPr>
        <w:t>, nhưng 11 HTX này đã</w:t>
      </w:r>
      <w:r w:rsidR="00546EB9" w:rsidRPr="002540C1">
        <w:rPr>
          <w:i/>
          <w:lang w:val="nl-NL"/>
        </w:rPr>
        <w:t xml:space="preserve"> ngừng hoạt động)</w:t>
      </w:r>
      <w:r w:rsidRPr="00950FD9">
        <w:rPr>
          <w:lang w:val="nl-NL"/>
        </w:rPr>
        <w:t xml:space="preserve">; Sa Thầy: </w:t>
      </w:r>
      <w:r w:rsidR="00396F32">
        <w:rPr>
          <w:lang w:val="nl-NL"/>
        </w:rPr>
        <w:t>báo cáo có 03 HTX ngừng hoạt động, thực tế giám sát có đến 0</w:t>
      </w:r>
      <w:r>
        <w:rPr>
          <w:lang w:val="nl-NL"/>
        </w:rPr>
        <w:t>5</w:t>
      </w:r>
      <w:r w:rsidRPr="00950FD9">
        <w:rPr>
          <w:lang w:val="nl-NL"/>
        </w:rPr>
        <w:t xml:space="preserve"> HTX</w:t>
      </w:r>
      <w:r w:rsidR="00396F32">
        <w:rPr>
          <w:lang w:val="nl-NL"/>
        </w:rPr>
        <w:t xml:space="preserve"> ngừng hoạt động</w:t>
      </w:r>
      <w:r w:rsidR="00546EB9">
        <w:rPr>
          <w:lang w:val="nl-NL"/>
        </w:rPr>
        <w:t xml:space="preserve"> </w:t>
      </w:r>
      <w:r w:rsidR="00546EB9" w:rsidRPr="006E153C">
        <w:rPr>
          <w:i/>
          <w:lang w:val="nl-NL"/>
        </w:rPr>
        <w:t>(số HTX hoạt động trung bình: 5/1</w:t>
      </w:r>
      <w:r w:rsidR="00546EB9">
        <w:rPr>
          <w:i/>
          <w:lang w:val="nl-NL"/>
        </w:rPr>
        <w:t>2</w:t>
      </w:r>
      <w:r w:rsidR="00546EB9" w:rsidRPr="006E153C">
        <w:rPr>
          <w:i/>
          <w:lang w:val="nl-NL"/>
        </w:rPr>
        <w:t xml:space="preserve"> HTX ngừng hoạt độ</w:t>
      </w:r>
      <w:r w:rsidR="00546EB9">
        <w:rPr>
          <w:i/>
          <w:lang w:val="nl-NL"/>
        </w:rPr>
        <w:t>ng</w:t>
      </w:r>
      <w:r w:rsidR="00546EB9" w:rsidRPr="006E153C">
        <w:rPr>
          <w:i/>
          <w:lang w:val="nl-NL"/>
        </w:rPr>
        <w:t>)</w:t>
      </w:r>
      <w:r w:rsidRPr="00950FD9">
        <w:rPr>
          <w:lang w:val="nl-NL"/>
        </w:rPr>
        <w:t xml:space="preserve">; Đăk Tô: </w:t>
      </w:r>
      <w:r w:rsidR="00396F32">
        <w:rPr>
          <w:lang w:val="nl-NL"/>
        </w:rPr>
        <w:t>báo cáo có 03 HTX ngừng hoạt động, thực tế giám sát có đến 06</w:t>
      </w:r>
      <w:r w:rsidR="00396F32" w:rsidRPr="00950FD9">
        <w:rPr>
          <w:lang w:val="nl-NL"/>
        </w:rPr>
        <w:t xml:space="preserve"> HTX</w:t>
      </w:r>
      <w:r w:rsidR="00396F32">
        <w:rPr>
          <w:lang w:val="nl-NL"/>
        </w:rPr>
        <w:t xml:space="preserve"> ngừng hoạt động</w:t>
      </w:r>
      <w:r w:rsidR="00546EB9">
        <w:rPr>
          <w:lang w:val="nl-NL"/>
        </w:rPr>
        <w:t xml:space="preserve"> </w:t>
      </w:r>
      <w:r w:rsidR="00546EB9" w:rsidRPr="006E153C">
        <w:rPr>
          <w:i/>
          <w:lang w:val="nl-NL"/>
        </w:rPr>
        <w:t xml:space="preserve">(số HTX hoạt động trung bình: </w:t>
      </w:r>
      <w:r w:rsidR="00546EB9">
        <w:rPr>
          <w:i/>
          <w:lang w:val="nl-NL"/>
        </w:rPr>
        <w:t>3</w:t>
      </w:r>
      <w:r w:rsidR="00546EB9" w:rsidRPr="006E153C">
        <w:rPr>
          <w:i/>
          <w:lang w:val="nl-NL"/>
        </w:rPr>
        <w:t>/</w:t>
      </w:r>
      <w:r w:rsidR="00546EB9">
        <w:rPr>
          <w:i/>
          <w:lang w:val="nl-NL"/>
        </w:rPr>
        <w:t>9</w:t>
      </w:r>
      <w:r w:rsidR="00546EB9" w:rsidRPr="006E153C">
        <w:rPr>
          <w:i/>
          <w:lang w:val="nl-NL"/>
        </w:rPr>
        <w:t xml:space="preserve"> HTX ngừng hoạt động; số HTX hoạt động còn hạn chế: </w:t>
      </w:r>
      <w:r w:rsidR="00546EB9">
        <w:rPr>
          <w:i/>
          <w:lang w:val="nl-NL"/>
        </w:rPr>
        <w:t>3</w:t>
      </w:r>
      <w:r w:rsidR="00546EB9" w:rsidRPr="006E153C">
        <w:rPr>
          <w:i/>
          <w:lang w:val="nl-NL"/>
        </w:rPr>
        <w:t>/</w:t>
      </w:r>
      <w:r w:rsidR="00546EB9">
        <w:rPr>
          <w:i/>
          <w:lang w:val="nl-NL"/>
        </w:rPr>
        <w:t>3</w:t>
      </w:r>
      <w:r w:rsidR="00546EB9" w:rsidRPr="006E153C">
        <w:rPr>
          <w:i/>
          <w:lang w:val="nl-NL"/>
        </w:rPr>
        <w:t xml:space="preserve"> HTX ngừng hoạt động)</w:t>
      </w:r>
      <w:r w:rsidRPr="00950FD9">
        <w:rPr>
          <w:lang w:val="nl-NL"/>
        </w:rPr>
        <w:t xml:space="preserve">; Kon Rẫy: </w:t>
      </w:r>
      <w:r>
        <w:rPr>
          <w:lang w:val="nl-NL"/>
        </w:rPr>
        <w:t>2</w:t>
      </w:r>
      <w:r w:rsidRPr="00950FD9">
        <w:rPr>
          <w:lang w:val="nl-NL"/>
        </w:rPr>
        <w:t xml:space="preserve"> HTX</w:t>
      </w:r>
      <w:r w:rsidR="00995013">
        <w:rPr>
          <w:lang w:val="nl-NL"/>
        </w:rPr>
        <w:t xml:space="preserve"> ngừng hoạt động</w:t>
      </w:r>
      <w:r w:rsidR="00546EB9">
        <w:rPr>
          <w:lang w:val="nl-NL"/>
        </w:rPr>
        <w:t xml:space="preserve"> </w:t>
      </w:r>
      <w:r w:rsidR="00546EB9" w:rsidRPr="006E153C">
        <w:rPr>
          <w:i/>
          <w:lang w:val="nl-NL"/>
        </w:rPr>
        <w:t xml:space="preserve">(số HTX hoạt động còn hạn chế: </w:t>
      </w:r>
      <w:r w:rsidR="00546EB9">
        <w:rPr>
          <w:i/>
          <w:lang w:val="nl-NL"/>
        </w:rPr>
        <w:t>2</w:t>
      </w:r>
      <w:r w:rsidR="00546EB9" w:rsidRPr="006E153C">
        <w:rPr>
          <w:i/>
          <w:lang w:val="nl-NL"/>
        </w:rPr>
        <w:t>/</w:t>
      </w:r>
      <w:r w:rsidR="00546EB9">
        <w:rPr>
          <w:i/>
          <w:lang w:val="nl-NL"/>
        </w:rPr>
        <w:t>3</w:t>
      </w:r>
      <w:r w:rsidR="00546EB9" w:rsidRPr="006E153C">
        <w:rPr>
          <w:i/>
          <w:lang w:val="nl-NL"/>
        </w:rPr>
        <w:t xml:space="preserve"> HTX ngừng hoạt động)</w:t>
      </w:r>
      <w:r w:rsidR="00995013">
        <w:rPr>
          <w:lang w:val="nl-NL"/>
        </w:rPr>
        <w:t>.</w:t>
      </w:r>
    </w:p>
  </w:footnote>
  <w:footnote w:id="17">
    <w:p w14:paraId="2E5F6C82" w14:textId="3C562AD8" w:rsidR="00546EB9" w:rsidRDefault="00546EB9" w:rsidP="00BD76E7">
      <w:pPr>
        <w:pStyle w:val="FootnoteText"/>
        <w:spacing w:before="0" w:after="40"/>
        <w:ind w:firstLine="567"/>
      </w:pPr>
      <w:r>
        <w:rPr>
          <w:rStyle w:val="FootnoteReference"/>
        </w:rPr>
        <w:footnoteRef/>
      </w:r>
      <w:r>
        <w:t xml:space="preserve"> </w:t>
      </w:r>
      <w:r w:rsidRPr="007B2473">
        <w:t>Nông nghiệp - Dịch vụ Minh Quân</w:t>
      </w:r>
      <w:r>
        <w:t xml:space="preserve"> (Đăk Tô); HTX </w:t>
      </w:r>
      <w:r w:rsidRPr="00CE421D">
        <w:rPr>
          <w:iCs/>
          <w:color w:val="000000"/>
          <w:lang w:val="nl-NL"/>
        </w:rPr>
        <w:t xml:space="preserve">sản xuất, kinh doanh dịch vụ nông nghiệp tổng hợp (Kon Rẫy); </w:t>
      </w:r>
      <w:r>
        <w:rPr>
          <w:iCs/>
          <w:lang w:val="nl-NL"/>
        </w:rPr>
        <w:t>HTX</w:t>
      </w:r>
      <w:r w:rsidRPr="00D20220">
        <w:rPr>
          <w:iCs/>
          <w:lang w:val="nl-NL"/>
        </w:rPr>
        <w:t xml:space="preserve"> nông nghiệp và dịch vụ Ia Tơi</w:t>
      </w:r>
      <w:r w:rsidR="00BD44F4">
        <w:rPr>
          <w:iCs/>
          <w:lang w:val="nl-NL"/>
        </w:rPr>
        <w:t xml:space="preserve"> (Ia H’Drai)</w:t>
      </w:r>
      <w:r>
        <w:rPr>
          <w:iCs/>
          <w:lang w:val="nl-NL"/>
        </w:rPr>
        <w:t xml:space="preserve">; </w:t>
      </w:r>
      <w:r>
        <w:rPr>
          <w:lang w:val="en-US"/>
        </w:rPr>
        <w:t>HTX chăn nuôi công nghệ cao</w:t>
      </w:r>
      <w:r w:rsidR="00BD44F4">
        <w:rPr>
          <w:lang w:val="en-US"/>
        </w:rPr>
        <w:t>,</w:t>
      </w:r>
      <w:r>
        <w:rPr>
          <w:lang w:val="en-US"/>
        </w:rPr>
        <w:t xml:space="preserve"> </w:t>
      </w:r>
      <w:r w:rsidRPr="00993B17">
        <w:rPr>
          <w:lang w:val="en-US"/>
        </w:rPr>
        <w:t>HTX Thần Nông</w:t>
      </w:r>
      <w:r>
        <w:rPr>
          <w:lang w:val="en-US"/>
        </w:rPr>
        <w:t xml:space="preserve"> </w:t>
      </w:r>
      <w:r w:rsidR="00BD44F4">
        <w:rPr>
          <w:iCs/>
          <w:lang w:val="nl-NL"/>
        </w:rPr>
        <w:t>(TP Kon Tum)</w:t>
      </w:r>
      <w:r>
        <w:rPr>
          <w:iCs/>
          <w:lang w:val="nl-NL"/>
        </w:rPr>
        <w:t>;</w:t>
      </w:r>
      <w:r w:rsidRPr="00BF3521">
        <w:rPr>
          <w:lang w:val="en-US"/>
        </w:rPr>
        <w:t xml:space="preserve"> HTX  NN và DVTM Tân Hợp</w:t>
      </w:r>
      <w:r>
        <w:rPr>
          <w:lang w:val="en-US"/>
        </w:rPr>
        <w:t xml:space="preserve">, </w:t>
      </w:r>
      <w:r w:rsidRPr="00BF3521">
        <w:rPr>
          <w:lang w:val="en-US"/>
        </w:rPr>
        <w:t>HTX NN công nghệ cao Nghĩa Tân</w:t>
      </w:r>
      <w:r>
        <w:rPr>
          <w:lang w:val="en-US"/>
        </w:rPr>
        <w:t xml:space="preserve"> (Sa Thầy)…</w:t>
      </w:r>
    </w:p>
  </w:footnote>
  <w:footnote w:id="18">
    <w:p w14:paraId="3E07F944" w14:textId="2E8D3894" w:rsidR="00546EB9" w:rsidRPr="00993B17" w:rsidRDefault="00546EB9" w:rsidP="00BD76E7">
      <w:pPr>
        <w:pStyle w:val="FootnoteText"/>
        <w:spacing w:before="0" w:after="40"/>
        <w:ind w:firstLine="567"/>
        <w:rPr>
          <w:lang w:val="nl-NL"/>
        </w:rPr>
      </w:pPr>
      <w:r>
        <w:rPr>
          <w:rStyle w:val="FootnoteReference"/>
        </w:rPr>
        <w:footnoteRef/>
      </w:r>
      <w:r>
        <w:t xml:space="preserve"> HTX</w:t>
      </w:r>
      <w:r w:rsidRPr="000842B8">
        <w:t xml:space="preserve"> </w:t>
      </w:r>
      <w:r>
        <w:t xml:space="preserve">Nông nghiệp Hai Dũng; </w:t>
      </w:r>
      <w:r w:rsidR="00BD44F4">
        <w:rPr>
          <w:lang w:val="en-US"/>
        </w:rPr>
        <w:t xml:space="preserve">HTX </w:t>
      </w:r>
      <w:r>
        <w:t>Nông nghiệp chăn nuôi dê Ia H’Drai</w:t>
      </w:r>
      <w:r w:rsidR="00BD44F4">
        <w:rPr>
          <w:lang w:val="en-US"/>
        </w:rPr>
        <w:t>,</w:t>
      </w:r>
      <w:r>
        <w:t xml:space="preserve"> </w:t>
      </w:r>
      <w:r w:rsidR="00BD44F4">
        <w:rPr>
          <w:lang w:val="en-US"/>
        </w:rPr>
        <w:t xml:space="preserve">HTX </w:t>
      </w:r>
      <w:r>
        <w:rPr>
          <w:iCs/>
          <w:lang w:val="nl-NL"/>
        </w:rPr>
        <w:t>N</w:t>
      </w:r>
      <w:r w:rsidRPr="00126022">
        <w:rPr>
          <w:iCs/>
          <w:lang w:val="nl-NL"/>
        </w:rPr>
        <w:t>ông nghiệp và xây dựng Suối Cát</w:t>
      </w:r>
      <w:r>
        <w:rPr>
          <w:iCs/>
          <w:lang w:val="nl-NL"/>
        </w:rPr>
        <w:t xml:space="preserve"> (Ia HDrai)</w:t>
      </w:r>
      <w:r w:rsidR="00BD44F4">
        <w:rPr>
          <w:iCs/>
          <w:lang w:val="nl-NL"/>
        </w:rPr>
        <w:t>;</w:t>
      </w:r>
      <w:r>
        <w:rPr>
          <w:iCs/>
          <w:lang w:val="nl-NL"/>
        </w:rPr>
        <w:t xml:space="preserve"> HTX dịch vụ tổng hợp Kon Đào (Đăk Tô); </w:t>
      </w:r>
      <w:r w:rsidRPr="00993B17">
        <w:rPr>
          <w:iCs/>
          <w:lang w:val="nl-NL"/>
        </w:rPr>
        <w:t>HTX NN công nghệ cao Nghĩa Tân</w:t>
      </w:r>
      <w:r>
        <w:rPr>
          <w:iCs/>
          <w:lang w:val="nl-NL"/>
        </w:rPr>
        <w:t xml:space="preserve">, </w:t>
      </w:r>
      <w:r w:rsidRPr="00993B17">
        <w:rPr>
          <w:lang w:val="nl-NL"/>
        </w:rPr>
        <w:t>HTX chăn nuôi bò sữa CNC Sa Thầy</w:t>
      </w:r>
      <w:r w:rsidR="00BD44F4">
        <w:rPr>
          <w:lang w:val="nl-NL"/>
        </w:rPr>
        <w:t xml:space="preserve"> (Sa Thầy)</w:t>
      </w:r>
      <w:r>
        <w:rPr>
          <w:lang w:val="nl-NL"/>
        </w:rPr>
        <w:t>...</w:t>
      </w:r>
    </w:p>
  </w:footnote>
  <w:footnote w:id="19">
    <w:p w14:paraId="576811DA" w14:textId="7AC04CF2" w:rsidR="00B91D3D" w:rsidRPr="00E273F5" w:rsidRDefault="00B91D3D" w:rsidP="00BD76E7">
      <w:pPr>
        <w:pStyle w:val="FootnoteText"/>
        <w:spacing w:before="0" w:after="40"/>
        <w:ind w:firstLine="567"/>
      </w:pPr>
      <w:r w:rsidRPr="00E273F5">
        <w:rPr>
          <w:rStyle w:val="FootnoteReference"/>
        </w:rPr>
        <w:footnoteRef/>
      </w:r>
      <w:r w:rsidRPr="00E273F5">
        <w:t xml:space="preserve"> HTX </w:t>
      </w:r>
      <w:r w:rsidRPr="00E273F5">
        <w:rPr>
          <w:iCs/>
          <w:color w:val="000000"/>
          <w:lang w:val="nl-NL"/>
        </w:rPr>
        <w:t>Trung Lộ Quán</w:t>
      </w:r>
      <w:r w:rsidR="00BD44F4">
        <w:rPr>
          <w:iCs/>
          <w:color w:val="000000"/>
          <w:lang w:val="nl-NL"/>
        </w:rPr>
        <w:t xml:space="preserve"> (Kon Rẫy)</w:t>
      </w:r>
      <w:r w:rsidRPr="00E273F5">
        <w:rPr>
          <w:iCs/>
          <w:color w:val="000000"/>
          <w:lang w:val="nl-NL"/>
        </w:rPr>
        <w:t xml:space="preserve">, </w:t>
      </w:r>
      <w:r w:rsidR="004E4F08">
        <w:t>HTX</w:t>
      </w:r>
      <w:r w:rsidRPr="00E273F5">
        <w:t xml:space="preserve"> </w:t>
      </w:r>
      <w:r w:rsidRPr="00E273F5">
        <w:rPr>
          <w:iCs/>
          <w:lang w:val="nl-NL"/>
        </w:rPr>
        <w:t>Nông lâm công nghiệp và Dịch vụ 711</w:t>
      </w:r>
      <w:r w:rsidR="00BD44F4">
        <w:rPr>
          <w:iCs/>
          <w:lang w:val="nl-NL"/>
        </w:rPr>
        <w:t xml:space="preserve"> (Ia H’Drai)</w:t>
      </w:r>
      <w:r w:rsidR="00BF3521">
        <w:rPr>
          <w:iCs/>
          <w:lang w:val="nl-NL"/>
        </w:rPr>
        <w:t>, HTX Liên kết Xanh Ya Chim</w:t>
      </w:r>
      <w:r w:rsidR="00BD44F4">
        <w:rPr>
          <w:iCs/>
          <w:lang w:val="nl-NL"/>
        </w:rPr>
        <w:t>,</w:t>
      </w:r>
      <w:r w:rsidR="00BF3521">
        <w:rPr>
          <w:iCs/>
          <w:lang w:val="nl-NL"/>
        </w:rPr>
        <w:t xml:space="preserve"> </w:t>
      </w:r>
      <w:r w:rsidR="00A128EE" w:rsidRPr="00A128EE">
        <w:rPr>
          <w:iCs/>
          <w:lang w:val="nl-NL"/>
        </w:rPr>
        <w:t>HTX đồng hành nhà nông Hoàng Bách</w:t>
      </w:r>
      <w:r w:rsidR="00BD44F4">
        <w:rPr>
          <w:iCs/>
          <w:lang w:val="nl-NL"/>
        </w:rPr>
        <w:t xml:space="preserve"> (TP Kon Tum)</w:t>
      </w:r>
      <w:r w:rsidR="00A128EE">
        <w:rPr>
          <w:iCs/>
          <w:lang w:val="nl-NL"/>
        </w:rPr>
        <w:t>...</w:t>
      </w:r>
      <w:r w:rsidRPr="00E273F5">
        <w:rPr>
          <w:iCs/>
          <w:lang w:val="nl-NL"/>
        </w:rPr>
        <w:t xml:space="preserve"> </w:t>
      </w:r>
    </w:p>
  </w:footnote>
  <w:footnote w:id="20">
    <w:p w14:paraId="4E81C4C4" w14:textId="070391DE" w:rsidR="00B91D3D" w:rsidRPr="00E273F5" w:rsidRDefault="00B91D3D" w:rsidP="00BD76E7">
      <w:pPr>
        <w:pStyle w:val="FootnoteText"/>
        <w:spacing w:before="0" w:after="40"/>
        <w:ind w:firstLine="567"/>
      </w:pPr>
      <w:r w:rsidRPr="00E273F5">
        <w:rPr>
          <w:rStyle w:val="FootnoteReference"/>
        </w:rPr>
        <w:footnoteRef/>
      </w:r>
      <w:r w:rsidRPr="00E273F5">
        <w:t xml:space="preserve"> HTX </w:t>
      </w:r>
      <w:r w:rsidRPr="00E273F5">
        <w:rPr>
          <w:iCs/>
          <w:color w:val="000000"/>
          <w:lang w:val="nl-NL"/>
        </w:rPr>
        <w:t>sản xuất, kinh doanh dịch vụ nông nghiệp tổng hợp</w:t>
      </w:r>
      <w:r w:rsidR="00BD44F4">
        <w:rPr>
          <w:iCs/>
          <w:color w:val="000000"/>
          <w:lang w:val="nl-NL"/>
        </w:rPr>
        <w:t xml:space="preserve"> (Kon Rẫy).</w:t>
      </w:r>
    </w:p>
  </w:footnote>
  <w:footnote w:id="21">
    <w:p w14:paraId="6366749C" w14:textId="6088E757" w:rsidR="00B91D3D" w:rsidRPr="00E273F5" w:rsidRDefault="00B91D3D" w:rsidP="00BD76E7">
      <w:pPr>
        <w:pStyle w:val="FootnoteText"/>
        <w:spacing w:before="0" w:after="40"/>
        <w:ind w:firstLine="567"/>
      </w:pPr>
      <w:r w:rsidRPr="00E273F5">
        <w:rPr>
          <w:rStyle w:val="FootnoteReference"/>
        </w:rPr>
        <w:footnoteRef/>
      </w:r>
      <w:r w:rsidRPr="00E273F5">
        <w:t xml:space="preserve"> </w:t>
      </w:r>
      <w:r w:rsidRPr="00E273F5">
        <w:rPr>
          <w:iCs/>
          <w:lang w:val="nl-NL"/>
        </w:rPr>
        <w:t xml:space="preserve">UBND xã Ia Tơi cho </w:t>
      </w:r>
      <w:r w:rsidR="004E4F08">
        <w:t>HTX</w:t>
      </w:r>
      <w:r w:rsidRPr="00E273F5">
        <w:t xml:space="preserve"> Sê San mượn làm trụ sở.</w:t>
      </w:r>
    </w:p>
  </w:footnote>
  <w:footnote w:id="22">
    <w:p w14:paraId="6C94639B" w14:textId="3E54CF2F" w:rsidR="00B91D3D" w:rsidRPr="00E273F5" w:rsidRDefault="00B91D3D" w:rsidP="00BD76E7">
      <w:pPr>
        <w:pStyle w:val="FootnoteText"/>
        <w:spacing w:before="0" w:after="40"/>
        <w:ind w:firstLine="567"/>
      </w:pPr>
      <w:r w:rsidRPr="00E273F5">
        <w:rPr>
          <w:rStyle w:val="FootnoteReference"/>
        </w:rPr>
        <w:footnoteRef/>
      </w:r>
      <w:r w:rsidRPr="00E273F5">
        <w:t xml:space="preserve"> </w:t>
      </w:r>
      <w:r w:rsidR="004E4F08">
        <w:rPr>
          <w:rFonts w:eastAsia="Arial"/>
          <w:color w:val="252525"/>
        </w:rPr>
        <w:t>HTX</w:t>
      </w:r>
      <w:r w:rsidRPr="00E273F5">
        <w:rPr>
          <w:rFonts w:eastAsia="Arial"/>
          <w:color w:val="252525"/>
        </w:rPr>
        <w:t xml:space="preserve"> Nông nghiệp và dịch vụ thương mại Rạng Đông</w:t>
      </w:r>
      <w:r w:rsidR="00BD44F4">
        <w:rPr>
          <w:rFonts w:eastAsia="Arial"/>
          <w:color w:val="252525"/>
          <w:lang w:val="en-US"/>
        </w:rPr>
        <w:t>,</w:t>
      </w:r>
      <w:r w:rsidRPr="00E273F5">
        <w:rPr>
          <w:rFonts w:eastAsia="Arial"/>
          <w:color w:val="252525"/>
        </w:rPr>
        <w:t xml:space="preserve"> </w:t>
      </w:r>
      <w:r w:rsidR="004E4F08">
        <w:rPr>
          <w:iCs/>
          <w:lang w:val="nl-NL"/>
        </w:rPr>
        <w:t>HTX</w:t>
      </w:r>
      <w:r w:rsidRPr="00E273F5">
        <w:rPr>
          <w:iCs/>
          <w:lang w:val="nl-NL"/>
        </w:rPr>
        <w:t xml:space="preserve"> Nông nghiệp, Dịch vụ Minh Quân (Đăk Tô)</w:t>
      </w:r>
    </w:p>
  </w:footnote>
  <w:footnote w:id="23">
    <w:p w14:paraId="13BE1078" w14:textId="622A0F02" w:rsidR="00B91D3D" w:rsidRPr="00E273F5" w:rsidRDefault="00B91D3D" w:rsidP="00BD76E7">
      <w:pPr>
        <w:pStyle w:val="FootnoteText"/>
        <w:spacing w:before="0" w:after="40"/>
        <w:ind w:firstLine="567"/>
      </w:pPr>
      <w:r w:rsidRPr="00E273F5">
        <w:rPr>
          <w:rStyle w:val="FootnoteReference"/>
        </w:rPr>
        <w:footnoteRef/>
      </w:r>
      <w:r w:rsidRPr="00E273F5">
        <w:t xml:space="preserve"> </w:t>
      </w:r>
      <w:r w:rsidR="004E4F08">
        <w:rPr>
          <w:iCs/>
          <w:lang w:val="nl-NL"/>
        </w:rPr>
        <w:t>HTX</w:t>
      </w:r>
      <w:r w:rsidRPr="00E273F5">
        <w:rPr>
          <w:iCs/>
          <w:lang w:val="nl-NL"/>
        </w:rPr>
        <w:t xml:space="preserve"> nông lâm công nghiệp và dịch vụ 711</w:t>
      </w:r>
      <w:r w:rsidR="00BD44F4">
        <w:rPr>
          <w:lang w:val="en-US"/>
        </w:rPr>
        <w:t>,</w:t>
      </w:r>
      <w:r w:rsidRPr="00E273F5">
        <w:t xml:space="preserve"> </w:t>
      </w:r>
      <w:r w:rsidR="004E4F08">
        <w:rPr>
          <w:bCs/>
          <w:lang w:val="nl-NL"/>
        </w:rPr>
        <w:t>HTX</w:t>
      </w:r>
      <w:r w:rsidRPr="00E273F5">
        <w:rPr>
          <w:bCs/>
          <w:lang w:val="nl-NL"/>
        </w:rPr>
        <w:t xml:space="preserve"> nông nghiệp hữu cơ Hợp Tiến</w:t>
      </w:r>
      <w:r w:rsidR="00BD44F4">
        <w:rPr>
          <w:bCs/>
          <w:lang w:val="nl-NL"/>
        </w:rPr>
        <w:t>,</w:t>
      </w:r>
      <w:r w:rsidRPr="00E273F5">
        <w:rPr>
          <w:bCs/>
          <w:lang w:val="nl-NL"/>
        </w:rPr>
        <w:t xml:space="preserve"> </w:t>
      </w:r>
      <w:r w:rsidR="004E4F08">
        <w:t>HTX</w:t>
      </w:r>
      <w:r w:rsidRPr="00E273F5">
        <w:t xml:space="preserve"> nông nghiệp Đồng Tiến</w:t>
      </w:r>
      <w:r w:rsidRPr="00E273F5">
        <w:rPr>
          <w:bCs/>
          <w:lang w:val="nl-NL"/>
        </w:rPr>
        <w:t xml:space="preserve"> (Ia H'Drai)</w:t>
      </w:r>
      <w:r w:rsidR="00993B17">
        <w:rPr>
          <w:bCs/>
          <w:lang w:val="nl-NL"/>
        </w:rPr>
        <w:t xml:space="preserve">; </w:t>
      </w:r>
      <w:r w:rsidR="00993B17">
        <w:rPr>
          <w:iCs/>
          <w:lang w:val="nl-NL"/>
        </w:rPr>
        <w:t>HTX Liên kết Xanh Ya Chim</w:t>
      </w:r>
      <w:r w:rsidR="00BD44F4">
        <w:rPr>
          <w:iCs/>
          <w:lang w:val="nl-NL"/>
        </w:rPr>
        <w:t xml:space="preserve"> (TP Kon Tum)</w:t>
      </w:r>
      <w:r w:rsidR="00993B17">
        <w:rPr>
          <w:iCs/>
          <w:lang w:val="nl-NL"/>
        </w:rPr>
        <w:t>...</w:t>
      </w:r>
    </w:p>
  </w:footnote>
  <w:footnote w:id="24">
    <w:p w14:paraId="2D8944F2" w14:textId="4E17B4A3" w:rsidR="00DD0D13" w:rsidRPr="00D62EC5" w:rsidRDefault="00DD0D13" w:rsidP="00BD76E7">
      <w:pPr>
        <w:pStyle w:val="FootnoteText"/>
        <w:spacing w:before="0" w:after="40"/>
        <w:ind w:firstLine="567"/>
      </w:pPr>
      <w:r w:rsidRPr="00E273F5">
        <w:rPr>
          <w:rStyle w:val="FootnoteReference"/>
        </w:rPr>
        <w:footnoteRef/>
      </w:r>
      <w:r w:rsidRPr="00E273F5">
        <w:t xml:space="preserve"> </w:t>
      </w:r>
      <w:r w:rsidR="004E4F08">
        <w:t>HTX</w:t>
      </w:r>
      <w:r w:rsidRPr="00E273F5">
        <w:t xml:space="preserve"> </w:t>
      </w:r>
      <w:r w:rsidRPr="00E273F5">
        <w:rPr>
          <w:iCs/>
          <w:lang w:val="nl-NL"/>
        </w:rPr>
        <w:t xml:space="preserve">Nông lâm công nghiệp và Dịch vụ 711 </w:t>
      </w:r>
      <w:r w:rsidRPr="00E273F5">
        <w:rPr>
          <w:i/>
          <w:iCs/>
          <w:lang w:val="nl-NL"/>
        </w:rPr>
        <w:t>(</w:t>
      </w:r>
      <w:r w:rsidR="00692D66">
        <w:rPr>
          <w:i/>
          <w:iCs/>
          <w:lang w:val="nl-NL"/>
        </w:rPr>
        <w:t xml:space="preserve">thành lập ngày 17/6/2020 và </w:t>
      </w:r>
      <w:r w:rsidRPr="00E273F5">
        <w:rPr>
          <w:i/>
          <w:iCs/>
          <w:lang w:val="nl-NL"/>
        </w:rPr>
        <w:t xml:space="preserve">đăng ký </w:t>
      </w:r>
      <w:r w:rsidRPr="00E273F5">
        <w:rPr>
          <w:b/>
          <w:i/>
          <w:iCs/>
          <w:lang w:val="nl-NL"/>
        </w:rPr>
        <w:t>151</w:t>
      </w:r>
      <w:r w:rsidRPr="00E273F5">
        <w:rPr>
          <w:i/>
          <w:iCs/>
          <w:lang w:val="nl-NL"/>
        </w:rPr>
        <w:t xml:space="preserve"> ngành nghề kinh doanh nhưng </w:t>
      </w:r>
      <w:r w:rsidR="00FD388F">
        <w:rPr>
          <w:i/>
          <w:iCs/>
          <w:lang w:val="nl-NL"/>
        </w:rPr>
        <w:t xml:space="preserve">đến thời điểm giám sát (đã hơn 2 năm) vẫn </w:t>
      </w:r>
      <w:r w:rsidRPr="00E273F5">
        <w:rPr>
          <w:i/>
          <w:iCs/>
          <w:lang w:val="nl-NL"/>
        </w:rPr>
        <w:t>chưa tiến hành hoạt động sản xuất, kinh doanh bất kỳ ngành nghề đăng ký nào)</w:t>
      </w:r>
      <w:r w:rsidR="00BD44F4">
        <w:rPr>
          <w:iCs/>
          <w:lang w:val="nl-NL"/>
        </w:rPr>
        <w:t>,</w:t>
      </w:r>
      <w:r>
        <w:rPr>
          <w:iCs/>
          <w:lang w:val="nl-NL"/>
        </w:rPr>
        <w:t xml:space="preserve"> </w:t>
      </w:r>
      <w:r w:rsidR="004E4F08">
        <w:rPr>
          <w:iCs/>
          <w:lang w:val="nl-NL"/>
        </w:rPr>
        <w:t>HTX</w:t>
      </w:r>
      <w:r w:rsidRPr="00D62EC5">
        <w:rPr>
          <w:iCs/>
          <w:lang w:val="nl-NL"/>
        </w:rPr>
        <w:t xml:space="preserve"> nông nghiệp và xây dựng Suối Cát</w:t>
      </w:r>
      <w:r w:rsidR="00BD44F4">
        <w:rPr>
          <w:iCs/>
          <w:lang w:val="nl-NL"/>
        </w:rPr>
        <w:t>,</w:t>
      </w:r>
      <w:r w:rsidRPr="00D62EC5">
        <w:rPr>
          <w:iCs/>
          <w:lang w:val="nl-NL"/>
        </w:rPr>
        <w:t xml:space="preserve"> </w:t>
      </w:r>
      <w:r w:rsidR="004E4F08">
        <w:rPr>
          <w:iCs/>
          <w:lang w:val="nl-NL"/>
        </w:rPr>
        <w:t>HTX</w:t>
      </w:r>
      <w:r w:rsidRPr="00D62EC5">
        <w:rPr>
          <w:iCs/>
          <w:lang w:val="nl-NL"/>
        </w:rPr>
        <w:t xml:space="preserve"> chăn nuôi dê Ia Hdrai</w:t>
      </w:r>
      <w:r w:rsidR="00BD44F4">
        <w:rPr>
          <w:iCs/>
          <w:lang w:val="nl-NL"/>
        </w:rPr>
        <w:t>,</w:t>
      </w:r>
      <w:r w:rsidRPr="00D62EC5">
        <w:rPr>
          <w:iCs/>
          <w:lang w:val="nl-NL"/>
        </w:rPr>
        <w:t xml:space="preserve"> </w:t>
      </w:r>
      <w:r w:rsidR="004E4F08">
        <w:rPr>
          <w:iCs/>
          <w:lang w:val="nl-NL"/>
        </w:rPr>
        <w:t>HTX</w:t>
      </w:r>
      <w:r>
        <w:rPr>
          <w:iCs/>
          <w:lang w:val="nl-NL"/>
        </w:rPr>
        <w:t xml:space="preserve"> nông nghiệp và dịch vụ Ia Tơi</w:t>
      </w:r>
      <w:r w:rsidR="00BD44F4">
        <w:rPr>
          <w:iCs/>
          <w:lang w:val="nl-NL"/>
        </w:rPr>
        <w:t>,</w:t>
      </w:r>
      <w:r>
        <w:rPr>
          <w:iCs/>
          <w:lang w:val="nl-NL"/>
        </w:rPr>
        <w:t xml:space="preserve"> </w:t>
      </w:r>
      <w:r w:rsidR="004E4F08">
        <w:rPr>
          <w:iCs/>
          <w:lang w:val="nl-NL"/>
        </w:rPr>
        <w:t>HTX</w:t>
      </w:r>
      <w:r w:rsidRPr="00D62EC5">
        <w:rPr>
          <w:iCs/>
          <w:lang w:val="nl-NL"/>
        </w:rPr>
        <w:t xml:space="preserve"> nông nghiệp Đồng Tiến</w:t>
      </w:r>
      <w:r>
        <w:rPr>
          <w:iCs/>
          <w:lang w:val="nl-NL"/>
        </w:rPr>
        <w:t xml:space="preserve"> (Ia H'Drai)</w:t>
      </w:r>
      <w:r w:rsidR="008556AD">
        <w:rPr>
          <w:iCs/>
          <w:lang w:val="nl-NL"/>
        </w:rPr>
        <w:t xml:space="preserve">; HTX </w:t>
      </w:r>
      <w:r w:rsidR="005A1AC1">
        <w:rPr>
          <w:iCs/>
          <w:lang w:val="nl-NL"/>
        </w:rPr>
        <w:t>Tiến Thanh (Sa Thầy)</w:t>
      </w:r>
      <w:r w:rsidRPr="00D62EC5">
        <w:rPr>
          <w:iCs/>
          <w:lang w:val="nl-NL"/>
        </w:rPr>
        <w:t>.</w:t>
      </w:r>
      <w:r w:rsidR="000E0A5A">
        <w:rPr>
          <w:iCs/>
          <w:lang w:val="nl-NL"/>
        </w:rPr>
        <w:t>...</w:t>
      </w:r>
    </w:p>
  </w:footnote>
  <w:footnote w:id="25">
    <w:p w14:paraId="0626C23F" w14:textId="7E79A7FB" w:rsidR="00DD0D13" w:rsidRPr="00E273F5" w:rsidRDefault="00DD0D13" w:rsidP="00BD76E7">
      <w:pPr>
        <w:pStyle w:val="FootnoteText"/>
        <w:spacing w:before="0" w:after="40"/>
        <w:ind w:firstLine="567"/>
      </w:pPr>
      <w:r w:rsidRPr="00E273F5">
        <w:rPr>
          <w:rStyle w:val="FootnoteReference"/>
        </w:rPr>
        <w:footnoteRef/>
      </w:r>
      <w:r w:rsidRPr="00E273F5">
        <w:t xml:space="preserve"> </w:t>
      </w:r>
      <w:r w:rsidR="004E4F08">
        <w:rPr>
          <w:iCs/>
          <w:lang w:val="nl-NL"/>
        </w:rPr>
        <w:t>HTX</w:t>
      </w:r>
      <w:r w:rsidRPr="00E273F5">
        <w:rPr>
          <w:iCs/>
          <w:lang w:val="nl-NL"/>
        </w:rPr>
        <w:t xml:space="preserve"> Se San </w:t>
      </w:r>
      <w:r w:rsidRPr="00E273F5">
        <w:rPr>
          <w:i/>
          <w:iCs/>
          <w:lang w:val="nl-NL"/>
        </w:rPr>
        <w:t>(chăn nuôi heo)</w:t>
      </w:r>
      <w:r w:rsidR="00BD44F4">
        <w:rPr>
          <w:iCs/>
          <w:lang w:val="nl-NL"/>
        </w:rPr>
        <w:t>,</w:t>
      </w:r>
      <w:r w:rsidRPr="00E273F5">
        <w:rPr>
          <w:iCs/>
          <w:lang w:val="nl-NL"/>
        </w:rPr>
        <w:t xml:space="preserve"> </w:t>
      </w:r>
      <w:r w:rsidR="004E4F08">
        <w:rPr>
          <w:iCs/>
          <w:lang w:val="nl-NL"/>
        </w:rPr>
        <w:t>HTX</w:t>
      </w:r>
      <w:r w:rsidRPr="00E273F5">
        <w:rPr>
          <w:iCs/>
          <w:lang w:val="nl-NL"/>
        </w:rPr>
        <w:t xml:space="preserve"> nông nghiệp Hai Dũng </w:t>
      </w:r>
      <w:r w:rsidR="00BD44F4">
        <w:rPr>
          <w:iCs/>
          <w:lang w:val="nl-NL"/>
        </w:rPr>
        <w:t>(Sa Thầy)</w:t>
      </w:r>
      <w:r w:rsidRPr="00E273F5">
        <w:rPr>
          <w:i/>
          <w:iCs/>
          <w:lang w:val="nl-NL"/>
        </w:rPr>
        <w:t>(sữa chữa, kinh doanh lốp xe; chăn nuôi bò)</w:t>
      </w:r>
      <w:r w:rsidRPr="00E273F5">
        <w:rPr>
          <w:iCs/>
          <w:lang w:val="nl-NL"/>
        </w:rPr>
        <w:t>.</w:t>
      </w:r>
    </w:p>
  </w:footnote>
  <w:footnote w:id="26">
    <w:p w14:paraId="2B304957" w14:textId="50C0BADF" w:rsidR="00D75DF5" w:rsidRPr="00D75DF5" w:rsidRDefault="00D75DF5" w:rsidP="00BD76E7">
      <w:pPr>
        <w:pStyle w:val="FootnoteText"/>
        <w:spacing w:before="0" w:after="40"/>
        <w:ind w:firstLine="567"/>
      </w:pPr>
      <w:r>
        <w:rPr>
          <w:rStyle w:val="FootnoteReference"/>
        </w:rPr>
        <w:footnoteRef/>
      </w:r>
      <w:r>
        <w:t xml:space="preserve"> </w:t>
      </w:r>
      <w:r w:rsidR="006D6548" w:rsidRPr="00FF0C54">
        <w:rPr>
          <w:szCs w:val="28"/>
        </w:rPr>
        <w:t>Điều 5 Thông tư số 15/2016/TT-BNNPTNT quy định tiêu chí xét hỗ trợ ở mức tương đối cao, vì vậy các HTX, đặc biệt là HTX nông nghiệp, ở khu vực miền núi, nông thôn rất khó tiếp cận</w:t>
      </w:r>
      <w:r w:rsidR="006D6548">
        <w:rPr>
          <w:szCs w:val="28"/>
          <w:lang w:val="en-US"/>
        </w:rPr>
        <w:t>;</w:t>
      </w:r>
      <w:r w:rsidR="006D6548">
        <w:rPr>
          <w:lang w:val="en-US"/>
        </w:rPr>
        <w:t xml:space="preserve"> </w:t>
      </w:r>
      <w:r w:rsidR="00661D14">
        <w:rPr>
          <w:lang w:val="en-US"/>
        </w:rPr>
        <w:t>Q</w:t>
      </w:r>
      <w:r w:rsidR="00661D14" w:rsidRPr="0074268C">
        <w:rPr>
          <w:szCs w:val="28"/>
          <w:lang w:val="de-DE"/>
        </w:rPr>
        <w:t xml:space="preserve">uy định về hỗ trợ, phát triển HTX, như: Kế hoạch số 51-KH/TU ngày 17 tháng 6 năm 2013 về việc thực hiện Kết luận số 56-KL/TW ngày 21 tháng 02 năm 2013 của Bộ Chính trị </w:t>
      </w:r>
      <w:r w:rsidR="00661D14" w:rsidRPr="0074268C">
        <w:rPr>
          <w:iCs/>
          <w:szCs w:val="28"/>
          <w:lang w:val="de-DE"/>
        </w:rPr>
        <w:t>“đẩy mạnh thực hiện Nghị quyết Trung ương 5 khóa IX về tiếp tục đổi mới, phát triển và nâng cao hiệu quả kinh tế tập thể”</w:t>
      </w:r>
      <w:r w:rsidR="00661D14" w:rsidRPr="0074268C">
        <w:rPr>
          <w:szCs w:val="28"/>
          <w:lang w:val="de-DE"/>
        </w:rPr>
        <w:t xml:space="preserve">; Kế hoạch số 131-KH/TU </w:t>
      </w:r>
      <w:r w:rsidR="00661D14" w:rsidRPr="0074268C">
        <w:rPr>
          <w:spacing w:val="2"/>
          <w:szCs w:val="28"/>
          <w:lang w:val="de-DE"/>
        </w:rPr>
        <w:t xml:space="preserve">ngày 22 tháng 5 năm 2020 về thực hiện Kết luận số 70-KL/TW ngày 09 tháng 3 năm 2020 của Bộ Chính trị </w:t>
      </w:r>
      <w:r w:rsidR="00661D14" w:rsidRPr="0074268C">
        <w:rPr>
          <w:iCs/>
          <w:spacing w:val="2"/>
          <w:szCs w:val="28"/>
          <w:lang w:val="de-DE"/>
        </w:rPr>
        <w:t>“về tiếp tục thực hiện Nghị quyết Trung ương 5 khóa IX về tiếp tục đổi mới, phát triển và nâng cao hiệu quả kinh tế tập thể”</w:t>
      </w:r>
      <w:r w:rsidR="00661D14" w:rsidRPr="0074268C">
        <w:rPr>
          <w:spacing w:val="2"/>
          <w:szCs w:val="28"/>
          <w:lang w:val="de-DE"/>
        </w:rPr>
        <w:t>. Đồng thời, chỉ đạo thực hiện báo cáo tổng kết 15 năm thực hiện Nghị quyết số 13-NQ/TW</w:t>
      </w:r>
      <w:r w:rsidR="00661D14" w:rsidRPr="0074268C">
        <w:rPr>
          <w:szCs w:val="28"/>
          <w:lang w:val="de-DE"/>
        </w:rPr>
        <w:t xml:space="preserve"> ngày 18 tháng 3 năm 2002 Hội nghị lần thứ 5, Ban Chấp hành Trung ương Đảng khóa IX </w:t>
      </w:r>
      <w:r w:rsidR="00661D14" w:rsidRPr="0074268C">
        <w:rPr>
          <w:iCs/>
          <w:szCs w:val="28"/>
          <w:lang w:val="de-DE"/>
        </w:rPr>
        <w:t xml:space="preserve">“về tiếp tục đổi mới, phát triển và nâng cao hiệu quả kinh tế tập thể” </w:t>
      </w:r>
      <w:r w:rsidR="00661D14" w:rsidRPr="0074268C">
        <w:rPr>
          <w:szCs w:val="28"/>
          <w:lang w:val="de-DE"/>
        </w:rPr>
        <w:t>trên địa bàn tỉnh Kon Tum,… Tuy nhiên, văn bản chưa quy định rõ các quy trình, thủ tục, hồ sơ giải quyết nên việc triển khai thực hiện còn nhiều khó khăn, vướng mắc.</w:t>
      </w:r>
    </w:p>
  </w:footnote>
  <w:footnote w:id="27">
    <w:p w14:paraId="45F36A3A" w14:textId="77777777" w:rsidR="00C57A34" w:rsidRPr="006C658A" w:rsidRDefault="00C57A34" w:rsidP="00BD76E7">
      <w:pPr>
        <w:pStyle w:val="FootnoteText"/>
        <w:spacing w:before="0" w:after="40"/>
        <w:ind w:firstLine="567"/>
      </w:pPr>
      <w:r w:rsidRPr="00CB1D35">
        <w:t>(</w:t>
      </w:r>
      <w:r w:rsidRPr="00CB1D35">
        <w:rPr>
          <w:rStyle w:val="FootnoteReference"/>
        </w:rPr>
        <w:footnoteRef/>
      </w:r>
      <w:r w:rsidRPr="00CB1D35">
        <w:t xml:space="preserve">) </w:t>
      </w:r>
      <w:r w:rsidRPr="006C658A">
        <w:t>Chương trình MTQG Nông thôn mới, chương trình tái cơ cấu nền nông nghiệp; hỗ trợ hạ tầng theo QĐ 2261</w:t>
      </w:r>
    </w:p>
  </w:footnote>
  <w:footnote w:id="28">
    <w:p w14:paraId="263F054E" w14:textId="77777777" w:rsidR="00C57A34" w:rsidRPr="006C658A" w:rsidRDefault="00C57A34" w:rsidP="00BD76E7">
      <w:pPr>
        <w:pStyle w:val="FootnoteText"/>
        <w:spacing w:before="0" w:after="40"/>
        <w:ind w:firstLine="567"/>
      </w:pPr>
      <w:r w:rsidRPr="00CB1D35">
        <w:t>(</w:t>
      </w:r>
      <w:r w:rsidRPr="00CB1D35">
        <w:rPr>
          <w:rStyle w:val="FootnoteReference"/>
        </w:rPr>
        <w:footnoteRef/>
      </w:r>
      <w:r w:rsidRPr="00CB1D35">
        <w:t>)</w:t>
      </w:r>
      <w:r w:rsidRPr="006C658A">
        <w:t xml:space="preserve"> Sở Kế hoạch Đầu tư, Sở Nông nghiệp và Phát triển nông thôn, Liên minh HTX tỉnh</w:t>
      </w:r>
      <w:r>
        <w:t>.</w:t>
      </w:r>
    </w:p>
  </w:footnote>
  <w:footnote w:id="29">
    <w:p w14:paraId="40DFFB15" w14:textId="7ED42CEE" w:rsidR="00355685" w:rsidRPr="0045625D" w:rsidRDefault="00355685" w:rsidP="00BD76E7">
      <w:pPr>
        <w:pStyle w:val="FootnoteText"/>
        <w:spacing w:before="0" w:after="40"/>
        <w:ind w:firstLine="567"/>
        <w:rPr>
          <w:lang w:val="vi-VN"/>
        </w:rPr>
      </w:pPr>
      <w:r>
        <w:rPr>
          <w:vertAlign w:val="superscript"/>
          <w:lang w:val="en-US"/>
        </w:rPr>
        <w:t>(</w:t>
      </w:r>
      <w:r>
        <w:rPr>
          <w:rStyle w:val="FootnoteReference"/>
        </w:rPr>
        <w:footnoteRef/>
      </w:r>
      <w:r>
        <w:rPr>
          <w:vertAlign w:val="superscript"/>
          <w:lang w:val="en-US"/>
        </w:rPr>
        <w:t>)</w:t>
      </w:r>
      <w:r>
        <w:t xml:space="preserve"> </w:t>
      </w:r>
      <w:r w:rsidRPr="00E07190">
        <w:rPr>
          <w:szCs w:val="28"/>
          <w:lang w:val="vi-VN"/>
        </w:rPr>
        <w:t xml:space="preserve">Điều 6 Luật HTX năm 2012 quy định HTX, LHHTX hoạt động trong lĩnh vực nông nghiệp,lâm nghiệp, ngư nghiệp, diêm nghiệp được hưởng chính sách </w:t>
      </w:r>
      <w:r w:rsidRPr="00E07190">
        <w:rPr>
          <w:i/>
          <w:szCs w:val="28"/>
          <w:lang w:val="vi-VN"/>
        </w:rPr>
        <w:t>“Giao đất, cho thuê đất để phục vụ hoạt động của HTX, LHHTX theo quy định của pháp luật đất đai”</w:t>
      </w:r>
      <w:r w:rsidRPr="00E07190">
        <w:rPr>
          <w:szCs w:val="28"/>
          <w:lang w:val="vi-VN"/>
        </w:rPr>
        <w:t>. Tuy nhiên Điều 54, 55 Luật Đất đai 2013 không quy định giao đất cho tổ chức kinh tế sử dụng vào mục đích sản xuất nông nghiệp, lâm nghiệp, ngư nghiệp, diêm nghiệp, mà chỉ quy định cho thuê đất tại Điều 56, 133 Luật đất đai năm 2013.</w:t>
      </w:r>
    </w:p>
  </w:footnote>
  <w:footnote w:id="30">
    <w:p w14:paraId="4F900B47" w14:textId="1C2E3A87" w:rsidR="00355685" w:rsidRPr="0045625D" w:rsidRDefault="00355685" w:rsidP="00BD76E7">
      <w:pPr>
        <w:pStyle w:val="FootnoteText"/>
        <w:spacing w:before="0" w:after="40"/>
        <w:ind w:firstLine="567"/>
        <w:rPr>
          <w:lang w:val="nl-NL"/>
        </w:rPr>
      </w:pPr>
      <w:r w:rsidRPr="0045625D">
        <w:rPr>
          <w:vertAlign w:val="superscript"/>
          <w:lang w:val="vi-VN"/>
        </w:rPr>
        <w:t>(</w:t>
      </w:r>
      <w:r>
        <w:rPr>
          <w:rStyle w:val="FootnoteReference"/>
        </w:rPr>
        <w:footnoteRef/>
      </w:r>
      <w:r w:rsidRPr="0045625D">
        <w:rPr>
          <w:vertAlign w:val="superscript"/>
          <w:lang w:val="vi-VN"/>
        </w:rPr>
        <w:t>)</w:t>
      </w:r>
      <w:r w:rsidR="001B317F" w:rsidRPr="00BD76E7">
        <w:rPr>
          <w:vertAlign w:val="superscript"/>
          <w:lang w:val="vi-VN"/>
        </w:rPr>
        <w:t xml:space="preserve"> </w:t>
      </w:r>
      <w:r w:rsidR="001B317F" w:rsidRPr="00FF0C54">
        <w:rPr>
          <w:szCs w:val="28"/>
          <w:shd w:val="clear" w:color="auto" w:fill="FFFFFF"/>
        </w:rPr>
        <w:t xml:space="preserve">Một số chính sách hỗ trợ hợp tác xã theo </w:t>
      </w:r>
      <w:r w:rsidR="001B317F" w:rsidRPr="00FF0C54">
        <w:rPr>
          <w:szCs w:val="28"/>
        </w:rPr>
        <w:t>Nghị định số 193/2013/NĐ-CP ngày 21</w:t>
      </w:r>
      <w:r w:rsidR="001B317F" w:rsidRPr="00837A9F">
        <w:rPr>
          <w:szCs w:val="28"/>
          <w:lang w:val="vi-VN"/>
        </w:rPr>
        <w:t xml:space="preserve"> tháng </w:t>
      </w:r>
      <w:r w:rsidR="001B317F" w:rsidRPr="00FF0C54">
        <w:rPr>
          <w:szCs w:val="28"/>
        </w:rPr>
        <w:t>12</w:t>
      </w:r>
      <w:r w:rsidR="001B317F" w:rsidRPr="00837A9F">
        <w:rPr>
          <w:szCs w:val="28"/>
          <w:lang w:val="vi-VN"/>
        </w:rPr>
        <w:t xml:space="preserve"> năm </w:t>
      </w:r>
      <w:r w:rsidR="001B317F" w:rsidRPr="00FF0C54">
        <w:rPr>
          <w:szCs w:val="28"/>
        </w:rPr>
        <w:t>2013 của Chính phủ quy định chi tiết một số điều của Luật HTX năm 2012 chưa được bố trí nguồn lực thực hiện như: Chính sách hỗ trợ vốn, giống khi gặp khó khăn do thiên tai, dịch bệnh; Chính sách hỗ trợ thành lập mới hợp tác xã, liên hiệp hợp tác xã. Riêng chính sách hỗ trợ đầu tư cơ sở hạ tầng cho hợp tác xã mới được bố trí kinh phí triển khai thực hiện trong năm 2019 và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A64BD" w14:textId="77777777" w:rsidR="00CA27D2" w:rsidRDefault="00CA27D2" w:rsidP="00BE73D4">
    <w:pPr>
      <w:pStyle w:val="Header"/>
      <w:jc w:val="center"/>
    </w:pPr>
    <w:r>
      <w:fldChar w:fldCharType="begin"/>
    </w:r>
    <w:r>
      <w:instrText xml:space="preserve"> PAGE   \* MERGEFORMAT </w:instrText>
    </w:r>
    <w:r>
      <w:fldChar w:fldCharType="separate"/>
    </w:r>
    <w:r w:rsidR="0018192F">
      <w:rPr>
        <w:noProof/>
      </w:rPr>
      <w:t>8</w:t>
    </w:r>
    <w:r>
      <w:rPr>
        <w:noProof/>
      </w:rPr>
      <w:fldChar w:fldCharType="end"/>
    </w:r>
  </w:p>
  <w:p w14:paraId="34C75A70" w14:textId="77777777" w:rsidR="00CA27D2" w:rsidRDefault="00CA2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94"/>
    <w:rsid w:val="000038CD"/>
    <w:rsid w:val="00005C5D"/>
    <w:rsid w:val="000079EB"/>
    <w:rsid w:val="00010DCA"/>
    <w:rsid w:val="000135C6"/>
    <w:rsid w:val="0001456B"/>
    <w:rsid w:val="00020C8C"/>
    <w:rsid w:val="0002291C"/>
    <w:rsid w:val="000229F1"/>
    <w:rsid w:val="00032B09"/>
    <w:rsid w:val="00033A2F"/>
    <w:rsid w:val="00035C4C"/>
    <w:rsid w:val="000407FE"/>
    <w:rsid w:val="0004170E"/>
    <w:rsid w:val="00041734"/>
    <w:rsid w:val="00041BB1"/>
    <w:rsid w:val="00043671"/>
    <w:rsid w:val="00044FFE"/>
    <w:rsid w:val="0004528E"/>
    <w:rsid w:val="000461A9"/>
    <w:rsid w:val="00047883"/>
    <w:rsid w:val="00047E43"/>
    <w:rsid w:val="00050A7F"/>
    <w:rsid w:val="00050CF3"/>
    <w:rsid w:val="000512D4"/>
    <w:rsid w:val="00055F96"/>
    <w:rsid w:val="00057D88"/>
    <w:rsid w:val="000655FE"/>
    <w:rsid w:val="0006609B"/>
    <w:rsid w:val="0006762E"/>
    <w:rsid w:val="00067A65"/>
    <w:rsid w:val="00072F87"/>
    <w:rsid w:val="00073735"/>
    <w:rsid w:val="00073BA2"/>
    <w:rsid w:val="00075966"/>
    <w:rsid w:val="0007647A"/>
    <w:rsid w:val="0007794D"/>
    <w:rsid w:val="00081883"/>
    <w:rsid w:val="00081BC3"/>
    <w:rsid w:val="0008374E"/>
    <w:rsid w:val="00084967"/>
    <w:rsid w:val="00086E1D"/>
    <w:rsid w:val="00087F33"/>
    <w:rsid w:val="00090E55"/>
    <w:rsid w:val="00090F13"/>
    <w:rsid w:val="00092013"/>
    <w:rsid w:val="0009312D"/>
    <w:rsid w:val="0009507F"/>
    <w:rsid w:val="00096469"/>
    <w:rsid w:val="00097E77"/>
    <w:rsid w:val="00097F4C"/>
    <w:rsid w:val="000A220E"/>
    <w:rsid w:val="000A325F"/>
    <w:rsid w:val="000A4585"/>
    <w:rsid w:val="000A6631"/>
    <w:rsid w:val="000B17A8"/>
    <w:rsid w:val="000B1DBC"/>
    <w:rsid w:val="000B3B6D"/>
    <w:rsid w:val="000B6323"/>
    <w:rsid w:val="000B6690"/>
    <w:rsid w:val="000B69DA"/>
    <w:rsid w:val="000B756A"/>
    <w:rsid w:val="000B7748"/>
    <w:rsid w:val="000C4A49"/>
    <w:rsid w:val="000C65C6"/>
    <w:rsid w:val="000C660C"/>
    <w:rsid w:val="000C6FD9"/>
    <w:rsid w:val="000C7ED9"/>
    <w:rsid w:val="000D184E"/>
    <w:rsid w:val="000D2185"/>
    <w:rsid w:val="000D4EC8"/>
    <w:rsid w:val="000D51CF"/>
    <w:rsid w:val="000D667F"/>
    <w:rsid w:val="000E0A5A"/>
    <w:rsid w:val="000E30CC"/>
    <w:rsid w:val="000E7CB7"/>
    <w:rsid w:val="000F54A6"/>
    <w:rsid w:val="0010022A"/>
    <w:rsid w:val="00100BFA"/>
    <w:rsid w:val="00100E3B"/>
    <w:rsid w:val="00104526"/>
    <w:rsid w:val="00104DCB"/>
    <w:rsid w:val="0010608B"/>
    <w:rsid w:val="0011441D"/>
    <w:rsid w:val="00115F22"/>
    <w:rsid w:val="00116604"/>
    <w:rsid w:val="001226D5"/>
    <w:rsid w:val="00122A5D"/>
    <w:rsid w:val="00123215"/>
    <w:rsid w:val="001244E2"/>
    <w:rsid w:val="0012563C"/>
    <w:rsid w:val="00127CC7"/>
    <w:rsid w:val="00135B1C"/>
    <w:rsid w:val="00135F92"/>
    <w:rsid w:val="001378DE"/>
    <w:rsid w:val="00142F1C"/>
    <w:rsid w:val="0014554D"/>
    <w:rsid w:val="00145758"/>
    <w:rsid w:val="00145F7A"/>
    <w:rsid w:val="00146FB9"/>
    <w:rsid w:val="00150381"/>
    <w:rsid w:val="00150A7B"/>
    <w:rsid w:val="00152085"/>
    <w:rsid w:val="0015420F"/>
    <w:rsid w:val="00154CF4"/>
    <w:rsid w:val="00155D4A"/>
    <w:rsid w:val="0016067A"/>
    <w:rsid w:val="00161617"/>
    <w:rsid w:val="0016178F"/>
    <w:rsid w:val="001623C3"/>
    <w:rsid w:val="0016308A"/>
    <w:rsid w:val="00163E27"/>
    <w:rsid w:val="0016467F"/>
    <w:rsid w:val="00164C82"/>
    <w:rsid w:val="00164D02"/>
    <w:rsid w:val="00165533"/>
    <w:rsid w:val="00171F7D"/>
    <w:rsid w:val="0017205E"/>
    <w:rsid w:val="0017497C"/>
    <w:rsid w:val="001754C3"/>
    <w:rsid w:val="00176D6E"/>
    <w:rsid w:val="0018013B"/>
    <w:rsid w:val="001816EE"/>
    <w:rsid w:val="0018192F"/>
    <w:rsid w:val="00182E3A"/>
    <w:rsid w:val="0018533B"/>
    <w:rsid w:val="001873CD"/>
    <w:rsid w:val="00191478"/>
    <w:rsid w:val="001921C1"/>
    <w:rsid w:val="00193BF9"/>
    <w:rsid w:val="00194E68"/>
    <w:rsid w:val="001A1015"/>
    <w:rsid w:val="001A14CD"/>
    <w:rsid w:val="001A15DE"/>
    <w:rsid w:val="001A1772"/>
    <w:rsid w:val="001A1829"/>
    <w:rsid w:val="001A275D"/>
    <w:rsid w:val="001A3F70"/>
    <w:rsid w:val="001A45A6"/>
    <w:rsid w:val="001A723B"/>
    <w:rsid w:val="001B0306"/>
    <w:rsid w:val="001B14B7"/>
    <w:rsid w:val="001B317F"/>
    <w:rsid w:val="001C3A1B"/>
    <w:rsid w:val="001C3D09"/>
    <w:rsid w:val="001C7EF3"/>
    <w:rsid w:val="001D05A7"/>
    <w:rsid w:val="001E0902"/>
    <w:rsid w:val="001E29E6"/>
    <w:rsid w:val="001E34CD"/>
    <w:rsid w:val="001E7304"/>
    <w:rsid w:val="001E764D"/>
    <w:rsid w:val="001E78AA"/>
    <w:rsid w:val="001E7B85"/>
    <w:rsid w:val="001F0217"/>
    <w:rsid w:val="001F2599"/>
    <w:rsid w:val="001F3BB5"/>
    <w:rsid w:val="001F45CC"/>
    <w:rsid w:val="001F483B"/>
    <w:rsid w:val="001F60AD"/>
    <w:rsid w:val="001F6E7E"/>
    <w:rsid w:val="001F7514"/>
    <w:rsid w:val="00204FC1"/>
    <w:rsid w:val="002052DA"/>
    <w:rsid w:val="0020693C"/>
    <w:rsid w:val="0021342B"/>
    <w:rsid w:val="00213726"/>
    <w:rsid w:val="002142E1"/>
    <w:rsid w:val="00215EA8"/>
    <w:rsid w:val="0021661C"/>
    <w:rsid w:val="00216870"/>
    <w:rsid w:val="00216938"/>
    <w:rsid w:val="00222F10"/>
    <w:rsid w:val="002231C6"/>
    <w:rsid w:val="002247CB"/>
    <w:rsid w:val="00224AC1"/>
    <w:rsid w:val="00224D52"/>
    <w:rsid w:val="002300D3"/>
    <w:rsid w:val="00230D22"/>
    <w:rsid w:val="00233633"/>
    <w:rsid w:val="002363A0"/>
    <w:rsid w:val="0023737D"/>
    <w:rsid w:val="00240ED4"/>
    <w:rsid w:val="00243394"/>
    <w:rsid w:val="00245478"/>
    <w:rsid w:val="002465CF"/>
    <w:rsid w:val="00247785"/>
    <w:rsid w:val="00247932"/>
    <w:rsid w:val="00251661"/>
    <w:rsid w:val="00251F51"/>
    <w:rsid w:val="002527DE"/>
    <w:rsid w:val="00253AD0"/>
    <w:rsid w:val="002540C1"/>
    <w:rsid w:val="00257BDE"/>
    <w:rsid w:val="002612A5"/>
    <w:rsid w:val="00261DE0"/>
    <w:rsid w:val="00263FB8"/>
    <w:rsid w:val="00265AA8"/>
    <w:rsid w:val="00267EB9"/>
    <w:rsid w:val="00270627"/>
    <w:rsid w:val="00270B4A"/>
    <w:rsid w:val="00270D33"/>
    <w:rsid w:val="0027598C"/>
    <w:rsid w:val="002800B2"/>
    <w:rsid w:val="0028054D"/>
    <w:rsid w:val="00281310"/>
    <w:rsid w:val="00281C36"/>
    <w:rsid w:val="0028255C"/>
    <w:rsid w:val="00286A06"/>
    <w:rsid w:val="00287D22"/>
    <w:rsid w:val="002911EF"/>
    <w:rsid w:val="002928F1"/>
    <w:rsid w:val="00295C70"/>
    <w:rsid w:val="00297E40"/>
    <w:rsid w:val="002A189E"/>
    <w:rsid w:val="002A398E"/>
    <w:rsid w:val="002A510E"/>
    <w:rsid w:val="002A516F"/>
    <w:rsid w:val="002A76AB"/>
    <w:rsid w:val="002A7F6C"/>
    <w:rsid w:val="002B040A"/>
    <w:rsid w:val="002B3351"/>
    <w:rsid w:val="002B38A3"/>
    <w:rsid w:val="002B6B49"/>
    <w:rsid w:val="002B6DD2"/>
    <w:rsid w:val="002C3B83"/>
    <w:rsid w:val="002C41F7"/>
    <w:rsid w:val="002C4741"/>
    <w:rsid w:val="002D60FA"/>
    <w:rsid w:val="002D6C3E"/>
    <w:rsid w:val="002D6E49"/>
    <w:rsid w:val="002E212A"/>
    <w:rsid w:val="002E2D5B"/>
    <w:rsid w:val="002E3595"/>
    <w:rsid w:val="002E4013"/>
    <w:rsid w:val="002E4D70"/>
    <w:rsid w:val="002E5B2D"/>
    <w:rsid w:val="002E6EC7"/>
    <w:rsid w:val="002E709B"/>
    <w:rsid w:val="002E7C5E"/>
    <w:rsid w:val="002F5B42"/>
    <w:rsid w:val="00302271"/>
    <w:rsid w:val="00311FC8"/>
    <w:rsid w:val="00313A4E"/>
    <w:rsid w:val="00313C9F"/>
    <w:rsid w:val="00315FD8"/>
    <w:rsid w:val="00321BC8"/>
    <w:rsid w:val="003248E4"/>
    <w:rsid w:val="00327A6A"/>
    <w:rsid w:val="00333EA0"/>
    <w:rsid w:val="00335180"/>
    <w:rsid w:val="00336235"/>
    <w:rsid w:val="00341F9B"/>
    <w:rsid w:val="00343AEC"/>
    <w:rsid w:val="00345F2A"/>
    <w:rsid w:val="003468C8"/>
    <w:rsid w:val="00346F4F"/>
    <w:rsid w:val="00347367"/>
    <w:rsid w:val="00347518"/>
    <w:rsid w:val="0034793E"/>
    <w:rsid w:val="0035128B"/>
    <w:rsid w:val="003516FF"/>
    <w:rsid w:val="00351E84"/>
    <w:rsid w:val="00353448"/>
    <w:rsid w:val="00354CFF"/>
    <w:rsid w:val="00355685"/>
    <w:rsid w:val="0036054E"/>
    <w:rsid w:val="00360AF4"/>
    <w:rsid w:val="00365649"/>
    <w:rsid w:val="00365882"/>
    <w:rsid w:val="003668B8"/>
    <w:rsid w:val="00371457"/>
    <w:rsid w:val="00374301"/>
    <w:rsid w:val="0037656C"/>
    <w:rsid w:val="003777AA"/>
    <w:rsid w:val="00377D9F"/>
    <w:rsid w:val="00377E15"/>
    <w:rsid w:val="00381236"/>
    <w:rsid w:val="003822EE"/>
    <w:rsid w:val="00382F0C"/>
    <w:rsid w:val="0038541A"/>
    <w:rsid w:val="003911B7"/>
    <w:rsid w:val="0039265B"/>
    <w:rsid w:val="00393D49"/>
    <w:rsid w:val="0039526C"/>
    <w:rsid w:val="0039636F"/>
    <w:rsid w:val="00396540"/>
    <w:rsid w:val="00396F32"/>
    <w:rsid w:val="003971AE"/>
    <w:rsid w:val="003974D7"/>
    <w:rsid w:val="00397B94"/>
    <w:rsid w:val="003A1EF8"/>
    <w:rsid w:val="003A2A27"/>
    <w:rsid w:val="003A2D5C"/>
    <w:rsid w:val="003A3198"/>
    <w:rsid w:val="003A3EEC"/>
    <w:rsid w:val="003A6672"/>
    <w:rsid w:val="003A6A11"/>
    <w:rsid w:val="003A6BE4"/>
    <w:rsid w:val="003A7370"/>
    <w:rsid w:val="003B0B3F"/>
    <w:rsid w:val="003B347E"/>
    <w:rsid w:val="003B3A22"/>
    <w:rsid w:val="003B3DE0"/>
    <w:rsid w:val="003B6379"/>
    <w:rsid w:val="003B6414"/>
    <w:rsid w:val="003B6B75"/>
    <w:rsid w:val="003B6B9B"/>
    <w:rsid w:val="003C1518"/>
    <w:rsid w:val="003C19BE"/>
    <w:rsid w:val="003C1EE3"/>
    <w:rsid w:val="003C3447"/>
    <w:rsid w:val="003C54DE"/>
    <w:rsid w:val="003C7E6C"/>
    <w:rsid w:val="003D4438"/>
    <w:rsid w:val="003D506A"/>
    <w:rsid w:val="003E058A"/>
    <w:rsid w:val="003E1311"/>
    <w:rsid w:val="003E1520"/>
    <w:rsid w:val="003E2E12"/>
    <w:rsid w:val="003E2E84"/>
    <w:rsid w:val="003E3EA7"/>
    <w:rsid w:val="003E73CB"/>
    <w:rsid w:val="003F1664"/>
    <w:rsid w:val="003F262F"/>
    <w:rsid w:val="003F2C25"/>
    <w:rsid w:val="003F3C7C"/>
    <w:rsid w:val="003F4242"/>
    <w:rsid w:val="003F7B83"/>
    <w:rsid w:val="00407BEF"/>
    <w:rsid w:val="00412775"/>
    <w:rsid w:val="00413B92"/>
    <w:rsid w:val="004146E7"/>
    <w:rsid w:val="0041556D"/>
    <w:rsid w:val="004157D9"/>
    <w:rsid w:val="00417BB4"/>
    <w:rsid w:val="00421C3E"/>
    <w:rsid w:val="00421D9F"/>
    <w:rsid w:val="004222DB"/>
    <w:rsid w:val="004227C1"/>
    <w:rsid w:val="004257D5"/>
    <w:rsid w:val="00427B48"/>
    <w:rsid w:val="00430EAF"/>
    <w:rsid w:val="0043102D"/>
    <w:rsid w:val="00431749"/>
    <w:rsid w:val="00431B38"/>
    <w:rsid w:val="00432779"/>
    <w:rsid w:val="00433A60"/>
    <w:rsid w:val="00433E23"/>
    <w:rsid w:val="00433F03"/>
    <w:rsid w:val="00434A8E"/>
    <w:rsid w:val="00436E3A"/>
    <w:rsid w:val="0043706C"/>
    <w:rsid w:val="0044558D"/>
    <w:rsid w:val="004457AA"/>
    <w:rsid w:val="004470A3"/>
    <w:rsid w:val="0044777B"/>
    <w:rsid w:val="004503F6"/>
    <w:rsid w:val="00451F57"/>
    <w:rsid w:val="00453ABF"/>
    <w:rsid w:val="00453D29"/>
    <w:rsid w:val="004541A0"/>
    <w:rsid w:val="00454CCA"/>
    <w:rsid w:val="0045625D"/>
    <w:rsid w:val="00457169"/>
    <w:rsid w:val="00457AAC"/>
    <w:rsid w:val="00462F02"/>
    <w:rsid w:val="00463117"/>
    <w:rsid w:val="00464082"/>
    <w:rsid w:val="004673AE"/>
    <w:rsid w:val="00467BCC"/>
    <w:rsid w:val="0047361A"/>
    <w:rsid w:val="004741FA"/>
    <w:rsid w:val="00481760"/>
    <w:rsid w:val="004837B6"/>
    <w:rsid w:val="00484157"/>
    <w:rsid w:val="00486164"/>
    <w:rsid w:val="00487913"/>
    <w:rsid w:val="004907A1"/>
    <w:rsid w:val="0049453A"/>
    <w:rsid w:val="00495452"/>
    <w:rsid w:val="004956D4"/>
    <w:rsid w:val="00496032"/>
    <w:rsid w:val="004A1D06"/>
    <w:rsid w:val="004A3DB1"/>
    <w:rsid w:val="004A62ED"/>
    <w:rsid w:val="004A7520"/>
    <w:rsid w:val="004A7CEB"/>
    <w:rsid w:val="004B6A4B"/>
    <w:rsid w:val="004B75F9"/>
    <w:rsid w:val="004B7C60"/>
    <w:rsid w:val="004C02DF"/>
    <w:rsid w:val="004C25CD"/>
    <w:rsid w:val="004C50FF"/>
    <w:rsid w:val="004C5F5B"/>
    <w:rsid w:val="004C7FCE"/>
    <w:rsid w:val="004D0E56"/>
    <w:rsid w:val="004D10EC"/>
    <w:rsid w:val="004D39FF"/>
    <w:rsid w:val="004D674D"/>
    <w:rsid w:val="004D6EFA"/>
    <w:rsid w:val="004E042A"/>
    <w:rsid w:val="004E0516"/>
    <w:rsid w:val="004E0EBA"/>
    <w:rsid w:val="004E19B3"/>
    <w:rsid w:val="004E36B7"/>
    <w:rsid w:val="004E46FD"/>
    <w:rsid w:val="004E4F08"/>
    <w:rsid w:val="004E58D0"/>
    <w:rsid w:val="004E7A33"/>
    <w:rsid w:val="004E7CBB"/>
    <w:rsid w:val="004F002F"/>
    <w:rsid w:val="004F2B2C"/>
    <w:rsid w:val="004F48CD"/>
    <w:rsid w:val="004F58B6"/>
    <w:rsid w:val="004F686A"/>
    <w:rsid w:val="004F7834"/>
    <w:rsid w:val="00503A24"/>
    <w:rsid w:val="00503F0D"/>
    <w:rsid w:val="005049B7"/>
    <w:rsid w:val="00506294"/>
    <w:rsid w:val="0050631E"/>
    <w:rsid w:val="00506E88"/>
    <w:rsid w:val="0051341E"/>
    <w:rsid w:val="00514669"/>
    <w:rsid w:val="00515992"/>
    <w:rsid w:val="00520399"/>
    <w:rsid w:val="00520A70"/>
    <w:rsid w:val="0052580A"/>
    <w:rsid w:val="00526A4A"/>
    <w:rsid w:val="00527885"/>
    <w:rsid w:val="00527CAB"/>
    <w:rsid w:val="00527CBF"/>
    <w:rsid w:val="005316A1"/>
    <w:rsid w:val="00531EB1"/>
    <w:rsid w:val="00536533"/>
    <w:rsid w:val="00536D86"/>
    <w:rsid w:val="005371D5"/>
    <w:rsid w:val="00545465"/>
    <w:rsid w:val="00546EB9"/>
    <w:rsid w:val="0054753D"/>
    <w:rsid w:val="00552364"/>
    <w:rsid w:val="00553036"/>
    <w:rsid w:val="0055369E"/>
    <w:rsid w:val="005547FD"/>
    <w:rsid w:val="0055583C"/>
    <w:rsid w:val="0055699E"/>
    <w:rsid w:val="00556C59"/>
    <w:rsid w:val="00562F03"/>
    <w:rsid w:val="00566D5B"/>
    <w:rsid w:val="005678A0"/>
    <w:rsid w:val="00567BD0"/>
    <w:rsid w:val="0057071A"/>
    <w:rsid w:val="0057200D"/>
    <w:rsid w:val="0057249D"/>
    <w:rsid w:val="00572675"/>
    <w:rsid w:val="00572907"/>
    <w:rsid w:val="00575AFB"/>
    <w:rsid w:val="00581619"/>
    <w:rsid w:val="00583A49"/>
    <w:rsid w:val="00583A74"/>
    <w:rsid w:val="00585ACA"/>
    <w:rsid w:val="005868D4"/>
    <w:rsid w:val="005873D5"/>
    <w:rsid w:val="00590FD1"/>
    <w:rsid w:val="0059114A"/>
    <w:rsid w:val="0059491E"/>
    <w:rsid w:val="00595616"/>
    <w:rsid w:val="00597406"/>
    <w:rsid w:val="005A0203"/>
    <w:rsid w:val="005A10E3"/>
    <w:rsid w:val="005A17CA"/>
    <w:rsid w:val="005A1AC1"/>
    <w:rsid w:val="005A223F"/>
    <w:rsid w:val="005A2F4F"/>
    <w:rsid w:val="005A3B78"/>
    <w:rsid w:val="005A3E18"/>
    <w:rsid w:val="005A536A"/>
    <w:rsid w:val="005A6157"/>
    <w:rsid w:val="005B32EE"/>
    <w:rsid w:val="005B5B95"/>
    <w:rsid w:val="005B67F2"/>
    <w:rsid w:val="005C245F"/>
    <w:rsid w:val="005C5377"/>
    <w:rsid w:val="005C6316"/>
    <w:rsid w:val="005C64BA"/>
    <w:rsid w:val="005D077A"/>
    <w:rsid w:val="005D0E5F"/>
    <w:rsid w:val="005D1AD8"/>
    <w:rsid w:val="005D1C88"/>
    <w:rsid w:val="005E1C9E"/>
    <w:rsid w:val="005E2345"/>
    <w:rsid w:val="005E5AA4"/>
    <w:rsid w:val="005E72E9"/>
    <w:rsid w:val="005F0A63"/>
    <w:rsid w:val="005F2580"/>
    <w:rsid w:val="00600963"/>
    <w:rsid w:val="00604882"/>
    <w:rsid w:val="0061059C"/>
    <w:rsid w:val="00613A0D"/>
    <w:rsid w:val="00613A8F"/>
    <w:rsid w:val="0061409F"/>
    <w:rsid w:val="00614694"/>
    <w:rsid w:val="0061735B"/>
    <w:rsid w:val="0062125B"/>
    <w:rsid w:val="00622F52"/>
    <w:rsid w:val="00623545"/>
    <w:rsid w:val="00624D2F"/>
    <w:rsid w:val="0062561D"/>
    <w:rsid w:val="00625B3A"/>
    <w:rsid w:val="0062774D"/>
    <w:rsid w:val="00633B03"/>
    <w:rsid w:val="006374DA"/>
    <w:rsid w:val="006403FD"/>
    <w:rsid w:val="00640FDE"/>
    <w:rsid w:val="0064292D"/>
    <w:rsid w:val="00643548"/>
    <w:rsid w:val="00643FEB"/>
    <w:rsid w:val="00644396"/>
    <w:rsid w:val="006454CE"/>
    <w:rsid w:val="00647694"/>
    <w:rsid w:val="006477A4"/>
    <w:rsid w:val="006478F5"/>
    <w:rsid w:val="00650305"/>
    <w:rsid w:val="0065235E"/>
    <w:rsid w:val="006526D6"/>
    <w:rsid w:val="006534BF"/>
    <w:rsid w:val="006540DF"/>
    <w:rsid w:val="0065491C"/>
    <w:rsid w:val="006557BB"/>
    <w:rsid w:val="0065751F"/>
    <w:rsid w:val="00657B36"/>
    <w:rsid w:val="006612B3"/>
    <w:rsid w:val="00661AD4"/>
    <w:rsid w:val="00661D14"/>
    <w:rsid w:val="00661E1F"/>
    <w:rsid w:val="006632D4"/>
    <w:rsid w:val="00663B6D"/>
    <w:rsid w:val="00664AD6"/>
    <w:rsid w:val="00667DE1"/>
    <w:rsid w:val="00671CAB"/>
    <w:rsid w:val="00671D44"/>
    <w:rsid w:val="00672503"/>
    <w:rsid w:val="00673114"/>
    <w:rsid w:val="00676A7A"/>
    <w:rsid w:val="0068123C"/>
    <w:rsid w:val="006827EB"/>
    <w:rsid w:val="006861A1"/>
    <w:rsid w:val="00687BF6"/>
    <w:rsid w:val="0069056A"/>
    <w:rsid w:val="006912D1"/>
    <w:rsid w:val="00691A97"/>
    <w:rsid w:val="006925D8"/>
    <w:rsid w:val="00692D66"/>
    <w:rsid w:val="006A38BD"/>
    <w:rsid w:val="006A4077"/>
    <w:rsid w:val="006A56B0"/>
    <w:rsid w:val="006A7BF9"/>
    <w:rsid w:val="006B089B"/>
    <w:rsid w:val="006B1D43"/>
    <w:rsid w:val="006B66E1"/>
    <w:rsid w:val="006B72C4"/>
    <w:rsid w:val="006B784D"/>
    <w:rsid w:val="006C1BA2"/>
    <w:rsid w:val="006C1E8C"/>
    <w:rsid w:val="006C2588"/>
    <w:rsid w:val="006C3CF3"/>
    <w:rsid w:val="006C5A47"/>
    <w:rsid w:val="006C6C71"/>
    <w:rsid w:val="006D025F"/>
    <w:rsid w:val="006D4BBB"/>
    <w:rsid w:val="006D5ADB"/>
    <w:rsid w:val="006D6548"/>
    <w:rsid w:val="006D6AA3"/>
    <w:rsid w:val="006D7326"/>
    <w:rsid w:val="006E058F"/>
    <w:rsid w:val="006E1A3C"/>
    <w:rsid w:val="006E52E0"/>
    <w:rsid w:val="006E7A31"/>
    <w:rsid w:val="006F2D37"/>
    <w:rsid w:val="006F3F92"/>
    <w:rsid w:val="006F4B2C"/>
    <w:rsid w:val="006F5A54"/>
    <w:rsid w:val="0070165F"/>
    <w:rsid w:val="00703C11"/>
    <w:rsid w:val="00705A08"/>
    <w:rsid w:val="00710EBE"/>
    <w:rsid w:val="0071134A"/>
    <w:rsid w:val="00714365"/>
    <w:rsid w:val="007156B5"/>
    <w:rsid w:val="00715724"/>
    <w:rsid w:val="00716449"/>
    <w:rsid w:val="00717F9B"/>
    <w:rsid w:val="0072080D"/>
    <w:rsid w:val="00722655"/>
    <w:rsid w:val="00722FA9"/>
    <w:rsid w:val="00724910"/>
    <w:rsid w:val="007252F9"/>
    <w:rsid w:val="007261F0"/>
    <w:rsid w:val="0072785E"/>
    <w:rsid w:val="00731485"/>
    <w:rsid w:val="0073327B"/>
    <w:rsid w:val="0073490D"/>
    <w:rsid w:val="007359F6"/>
    <w:rsid w:val="007438FF"/>
    <w:rsid w:val="00743CF6"/>
    <w:rsid w:val="00745418"/>
    <w:rsid w:val="00746A58"/>
    <w:rsid w:val="00753432"/>
    <w:rsid w:val="00753A6B"/>
    <w:rsid w:val="00755155"/>
    <w:rsid w:val="00755BD6"/>
    <w:rsid w:val="007562C5"/>
    <w:rsid w:val="0075793F"/>
    <w:rsid w:val="00761A27"/>
    <w:rsid w:val="00762347"/>
    <w:rsid w:val="00763F2F"/>
    <w:rsid w:val="007707A8"/>
    <w:rsid w:val="00771DB5"/>
    <w:rsid w:val="00772A41"/>
    <w:rsid w:val="0077532D"/>
    <w:rsid w:val="007766F1"/>
    <w:rsid w:val="0077687A"/>
    <w:rsid w:val="00780756"/>
    <w:rsid w:val="0078208E"/>
    <w:rsid w:val="00784A9F"/>
    <w:rsid w:val="00784F3A"/>
    <w:rsid w:val="00785C34"/>
    <w:rsid w:val="00786A81"/>
    <w:rsid w:val="00793756"/>
    <w:rsid w:val="00796841"/>
    <w:rsid w:val="00797231"/>
    <w:rsid w:val="007A0ACC"/>
    <w:rsid w:val="007A35F5"/>
    <w:rsid w:val="007A419D"/>
    <w:rsid w:val="007A4AAC"/>
    <w:rsid w:val="007A5AF6"/>
    <w:rsid w:val="007A780B"/>
    <w:rsid w:val="007B0CE6"/>
    <w:rsid w:val="007B13EE"/>
    <w:rsid w:val="007B1E97"/>
    <w:rsid w:val="007B22F0"/>
    <w:rsid w:val="007B2DCD"/>
    <w:rsid w:val="007B2E4E"/>
    <w:rsid w:val="007B79F5"/>
    <w:rsid w:val="007C1DB2"/>
    <w:rsid w:val="007C2F94"/>
    <w:rsid w:val="007C3D3A"/>
    <w:rsid w:val="007C503F"/>
    <w:rsid w:val="007C6E2D"/>
    <w:rsid w:val="007C79B6"/>
    <w:rsid w:val="007D5A83"/>
    <w:rsid w:val="007D64FE"/>
    <w:rsid w:val="007D6C23"/>
    <w:rsid w:val="007D7781"/>
    <w:rsid w:val="007D7866"/>
    <w:rsid w:val="007E444A"/>
    <w:rsid w:val="007E4499"/>
    <w:rsid w:val="007E4EA0"/>
    <w:rsid w:val="007E64E5"/>
    <w:rsid w:val="007E79D6"/>
    <w:rsid w:val="007F00F8"/>
    <w:rsid w:val="007F0C2C"/>
    <w:rsid w:val="007F0E2B"/>
    <w:rsid w:val="007F13D7"/>
    <w:rsid w:val="007F3746"/>
    <w:rsid w:val="007F3D66"/>
    <w:rsid w:val="00801D7E"/>
    <w:rsid w:val="0080353B"/>
    <w:rsid w:val="00805D0E"/>
    <w:rsid w:val="00807C32"/>
    <w:rsid w:val="0081278B"/>
    <w:rsid w:val="00812D46"/>
    <w:rsid w:val="00812FF5"/>
    <w:rsid w:val="0081317B"/>
    <w:rsid w:val="008155D8"/>
    <w:rsid w:val="008155DA"/>
    <w:rsid w:val="00816FFF"/>
    <w:rsid w:val="00820277"/>
    <w:rsid w:val="00822A3C"/>
    <w:rsid w:val="008243FB"/>
    <w:rsid w:val="00824D8B"/>
    <w:rsid w:val="008259DF"/>
    <w:rsid w:val="00825CD8"/>
    <w:rsid w:val="008266F0"/>
    <w:rsid w:val="008275D6"/>
    <w:rsid w:val="00830886"/>
    <w:rsid w:val="00830AAF"/>
    <w:rsid w:val="008324F9"/>
    <w:rsid w:val="00835D4A"/>
    <w:rsid w:val="00840BC8"/>
    <w:rsid w:val="00842F40"/>
    <w:rsid w:val="00843FF0"/>
    <w:rsid w:val="008442FC"/>
    <w:rsid w:val="008452EB"/>
    <w:rsid w:val="008471BE"/>
    <w:rsid w:val="008473CF"/>
    <w:rsid w:val="00850234"/>
    <w:rsid w:val="0085484B"/>
    <w:rsid w:val="00854B84"/>
    <w:rsid w:val="00854D0A"/>
    <w:rsid w:val="008556AD"/>
    <w:rsid w:val="008563C7"/>
    <w:rsid w:val="00860509"/>
    <w:rsid w:val="00860B80"/>
    <w:rsid w:val="00861E77"/>
    <w:rsid w:val="00862314"/>
    <w:rsid w:val="008718B8"/>
    <w:rsid w:val="00872B73"/>
    <w:rsid w:val="00876A4E"/>
    <w:rsid w:val="00876EF9"/>
    <w:rsid w:val="00880115"/>
    <w:rsid w:val="008806A7"/>
    <w:rsid w:val="00885D09"/>
    <w:rsid w:val="00886608"/>
    <w:rsid w:val="008866E7"/>
    <w:rsid w:val="0088703F"/>
    <w:rsid w:val="00890342"/>
    <w:rsid w:val="00890393"/>
    <w:rsid w:val="0089199D"/>
    <w:rsid w:val="00892AF0"/>
    <w:rsid w:val="00893763"/>
    <w:rsid w:val="00894605"/>
    <w:rsid w:val="008950D2"/>
    <w:rsid w:val="00897844"/>
    <w:rsid w:val="008A017C"/>
    <w:rsid w:val="008A2DA2"/>
    <w:rsid w:val="008A3167"/>
    <w:rsid w:val="008B20EB"/>
    <w:rsid w:val="008B2E56"/>
    <w:rsid w:val="008B358E"/>
    <w:rsid w:val="008B40D6"/>
    <w:rsid w:val="008B7A71"/>
    <w:rsid w:val="008B7C67"/>
    <w:rsid w:val="008C1DD6"/>
    <w:rsid w:val="008C353D"/>
    <w:rsid w:val="008C5676"/>
    <w:rsid w:val="008D2427"/>
    <w:rsid w:val="008D5A71"/>
    <w:rsid w:val="008D705D"/>
    <w:rsid w:val="008D749A"/>
    <w:rsid w:val="008E4317"/>
    <w:rsid w:val="008E4A7B"/>
    <w:rsid w:val="008E4FFC"/>
    <w:rsid w:val="008E65C6"/>
    <w:rsid w:val="008E75DE"/>
    <w:rsid w:val="008F06F9"/>
    <w:rsid w:val="008F3F67"/>
    <w:rsid w:val="008F4087"/>
    <w:rsid w:val="008F4D68"/>
    <w:rsid w:val="00900052"/>
    <w:rsid w:val="00901073"/>
    <w:rsid w:val="00901E11"/>
    <w:rsid w:val="00905439"/>
    <w:rsid w:val="0090658D"/>
    <w:rsid w:val="00906A14"/>
    <w:rsid w:val="00907C75"/>
    <w:rsid w:val="009134EC"/>
    <w:rsid w:val="00913F29"/>
    <w:rsid w:val="009150AB"/>
    <w:rsid w:val="00917557"/>
    <w:rsid w:val="009176C8"/>
    <w:rsid w:val="00921326"/>
    <w:rsid w:val="0092144A"/>
    <w:rsid w:val="00921FC4"/>
    <w:rsid w:val="009228DE"/>
    <w:rsid w:val="00922F28"/>
    <w:rsid w:val="009232D2"/>
    <w:rsid w:val="009264A8"/>
    <w:rsid w:val="00926747"/>
    <w:rsid w:val="009279F3"/>
    <w:rsid w:val="00931E40"/>
    <w:rsid w:val="009322A7"/>
    <w:rsid w:val="00935D23"/>
    <w:rsid w:val="009424AF"/>
    <w:rsid w:val="00943119"/>
    <w:rsid w:val="00943B5E"/>
    <w:rsid w:val="00944FB9"/>
    <w:rsid w:val="009473A2"/>
    <w:rsid w:val="00950F80"/>
    <w:rsid w:val="00952EA6"/>
    <w:rsid w:val="00953C68"/>
    <w:rsid w:val="0096195D"/>
    <w:rsid w:val="009628D6"/>
    <w:rsid w:val="00962C16"/>
    <w:rsid w:val="00963C29"/>
    <w:rsid w:val="00965ACF"/>
    <w:rsid w:val="009666AE"/>
    <w:rsid w:val="0096761B"/>
    <w:rsid w:val="00967DD2"/>
    <w:rsid w:val="0097012E"/>
    <w:rsid w:val="00973DC3"/>
    <w:rsid w:val="00974C00"/>
    <w:rsid w:val="0097702E"/>
    <w:rsid w:val="0098069A"/>
    <w:rsid w:val="00980BA3"/>
    <w:rsid w:val="00986AD6"/>
    <w:rsid w:val="00986BBC"/>
    <w:rsid w:val="00993B17"/>
    <w:rsid w:val="00995013"/>
    <w:rsid w:val="00996228"/>
    <w:rsid w:val="00996AD2"/>
    <w:rsid w:val="009A0E18"/>
    <w:rsid w:val="009A2878"/>
    <w:rsid w:val="009A3BA7"/>
    <w:rsid w:val="009A3D74"/>
    <w:rsid w:val="009A57F2"/>
    <w:rsid w:val="009B2DA2"/>
    <w:rsid w:val="009B2FC6"/>
    <w:rsid w:val="009B3335"/>
    <w:rsid w:val="009B3817"/>
    <w:rsid w:val="009B405D"/>
    <w:rsid w:val="009B7F06"/>
    <w:rsid w:val="009C2913"/>
    <w:rsid w:val="009C6EB4"/>
    <w:rsid w:val="009D21B7"/>
    <w:rsid w:val="009D37D0"/>
    <w:rsid w:val="009D7320"/>
    <w:rsid w:val="009E0C4C"/>
    <w:rsid w:val="009E3BD0"/>
    <w:rsid w:val="009E5346"/>
    <w:rsid w:val="009F15D5"/>
    <w:rsid w:val="009F208B"/>
    <w:rsid w:val="009F40F9"/>
    <w:rsid w:val="009F56DD"/>
    <w:rsid w:val="00A00D28"/>
    <w:rsid w:val="00A04381"/>
    <w:rsid w:val="00A06167"/>
    <w:rsid w:val="00A1062A"/>
    <w:rsid w:val="00A122FD"/>
    <w:rsid w:val="00A125C9"/>
    <w:rsid w:val="00A128EE"/>
    <w:rsid w:val="00A14B4F"/>
    <w:rsid w:val="00A16BCE"/>
    <w:rsid w:val="00A17B80"/>
    <w:rsid w:val="00A20542"/>
    <w:rsid w:val="00A20F55"/>
    <w:rsid w:val="00A22D42"/>
    <w:rsid w:val="00A24296"/>
    <w:rsid w:val="00A301A0"/>
    <w:rsid w:val="00A30999"/>
    <w:rsid w:val="00A313E1"/>
    <w:rsid w:val="00A32DCB"/>
    <w:rsid w:val="00A3398C"/>
    <w:rsid w:val="00A37881"/>
    <w:rsid w:val="00A4201F"/>
    <w:rsid w:val="00A44E99"/>
    <w:rsid w:val="00A46789"/>
    <w:rsid w:val="00A46F4D"/>
    <w:rsid w:val="00A50003"/>
    <w:rsid w:val="00A50A01"/>
    <w:rsid w:val="00A54460"/>
    <w:rsid w:val="00A54DCC"/>
    <w:rsid w:val="00A570F8"/>
    <w:rsid w:val="00A61792"/>
    <w:rsid w:val="00A61C3B"/>
    <w:rsid w:val="00A649D8"/>
    <w:rsid w:val="00A71C69"/>
    <w:rsid w:val="00A7269E"/>
    <w:rsid w:val="00A72D0F"/>
    <w:rsid w:val="00A72D66"/>
    <w:rsid w:val="00A770DA"/>
    <w:rsid w:val="00A77544"/>
    <w:rsid w:val="00A77BB2"/>
    <w:rsid w:val="00A80BB1"/>
    <w:rsid w:val="00A81500"/>
    <w:rsid w:val="00A834DB"/>
    <w:rsid w:val="00A8489E"/>
    <w:rsid w:val="00A855FA"/>
    <w:rsid w:val="00A86169"/>
    <w:rsid w:val="00A90BF6"/>
    <w:rsid w:val="00A92A7E"/>
    <w:rsid w:val="00A92CFA"/>
    <w:rsid w:val="00A934A3"/>
    <w:rsid w:val="00A94C0B"/>
    <w:rsid w:val="00AA209A"/>
    <w:rsid w:val="00AA259E"/>
    <w:rsid w:val="00AA37F9"/>
    <w:rsid w:val="00AA464E"/>
    <w:rsid w:val="00AA6AF0"/>
    <w:rsid w:val="00AB028A"/>
    <w:rsid w:val="00AB114B"/>
    <w:rsid w:val="00AB2193"/>
    <w:rsid w:val="00AB3831"/>
    <w:rsid w:val="00AB4363"/>
    <w:rsid w:val="00AB475E"/>
    <w:rsid w:val="00AB50C7"/>
    <w:rsid w:val="00AB538C"/>
    <w:rsid w:val="00AB5C55"/>
    <w:rsid w:val="00AB673C"/>
    <w:rsid w:val="00AC31BC"/>
    <w:rsid w:val="00AC3936"/>
    <w:rsid w:val="00AC455C"/>
    <w:rsid w:val="00AC5139"/>
    <w:rsid w:val="00AC656F"/>
    <w:rsid w:val="00AC6FBB"/>
    <w:rsid w:val="00AC75B2"/>
    <w:rsid w:val="00AD009D"/>
    <w:rsid w:val="00AD02BC"/>
    <w:rsid w:val="00AD0D10"/>
    <w:rsid w:val="00AD2708"/>
    <w:rsid w:val="00AD32CF"/>
    <w:rsid w:val="00AD3C2C"/>
    <w:rsid w:val="00AD4FF4"/>
    <w:rsid w:val="00AE0325"/>
    <w:rsid w:val="00AE03C5"/>
    <w:rsid w:val="00AE097D"/>
    <w:rsid w:val="00AE4B5C"/>
    <w:rsid w:val="00AE5A5D"/>
    <w:rsid w:val="00AF13A0"/>
    <w:rsid w:val="00AF2996"/>
    <w:rsid w:val="00AF3D0D"/>
    <w:rsid w:val="00AF4E39"/>
    <w:rsid w:val="00AF6902"/>
    <w:rsid w:val="00B01A3E"/>
    <w:rsid w:val="00B03502"/>
    <w:rsid w:val="00B03F05"/>
    <w:rsid w:val="00B05677"/>
    <w:rsid w:val="00B07764"/>
    <w:rsid w:val="00B10DA5"/>
    <w:rsid w:val="00B10E2D"/>
    <w:rsid w:val="00B11188"/>
    <w:rsid w:val="00B14F9B"/>
    <w:rsid w:val="00B15884"/>
    <w:rsid w:val="00B16429"/>
    <w:rsid w:val="00B2005C"/>
    <w:rsid w:val="00B20B7B"/>
    <w:rsid w:val="00B210D0"/>
    <w:rsid w:val="00B21F95"/>
    <w:rsid w:val="00B22DEF"/>
    <w:rsid w:val="00B31C07"/>
    <w:rsid w:val="00B3225C"/>
    <w:rsid w:val="00B33770"/>
    <w:rsid w:val="00B34CA5"/>
    <w:rsid w:val="00B37146"/>
    <w:rsid w:val="00B37D21"/>
    <w:rsid w:val="00B40CD9"/>
    <w:rsid w:val="00B444C0"/>
    <w:rsid w:val="00B455A3"/>
    <w:rsid w:val="00B46D11"/>
    <w:rsid w:val="00B508D4"/>
    <w:rsid w:val="00B50D13"/>
    <w:rsid w:val="00B5219D"/>
    <w:rsid w:val="00B575DA"/>
    <w:rsid w:val="00B600C4"/>
    <w:rsid w:val="00B64EAF"/>
    <w:rsid w:val="00B72081"/>
    <w:rsid w:val="00B75260"/>
    <w:rsid w:val="00B766B8"/>
    <w:rsid w:val="00B813B2"/>
    <w:rsid w:val="00B836B5"/>
    <w:rsid w:val="00B86024"/>
    <w:rsid w:val="00B91D3D"/>
    <w:rsid w:val="00B92F7C"/>
    <w:rsid w:val="00B93BAC"/>
    <w:rsid w:val="00B9442C"/>
    <w:rsid w:val="00B94F4F"/>
    <w:rsid w:val="00B9544C"/>
    <w:rsid w:val="00B97D93"/>
    <w:rsid w:val="00BA06CD"/>
    <w:rsid w:val="00BA0D18"/>
    <w:rsid w:val="00BA4670"/>
    <w:rsid w:val="00BA4FBE"/>
    <w:rsid w:val="00BA69B1"/>
    <w:rsid w:val="00BA6CC1"/>
    <w:rsid w:val="00BB0398"/>
    <w:rsid w:val="00BB23CF"/>
    <w:rsid w:val="00BB4BA0"/>
    <w:rsid w:val="00BB5B61"/>
    <w:rsid w:val="00BB658E"/>
    <w:rsid w:val="00BC00EC"/>
    <w:rsid w:val="00BC152F"/>
    <w:rsid w:val="00BC238A"/>
    <w:rsid w:val="00BC315B"/>
    <w:rsid w:val="00BC4891"/>
    <w:rsid w:val="00BC655A"/>
    <w:rsid w:val="00BC73FC"/>
    <w:rsid w:val="00BD085F"/>
    <w:rsid w:val="00BD319F"/>
    <w:rsid w:val="00BD367E"/>
    <w:rsid w:val="00BD44F4"/>
    <w:rsid w:val="00BD4E14"/>
    <w:rsid w:val="00BD6474"/>
    <w:rsid w:val="00BD76E7"/>
    <w:rsid w:val="00BE0E84"/>
    <w:rsid w:val="00BE1784"/>
    <w:rsid w:val="00BE1C0E"/>
    <w:rsid w:val="00BE3BC1"/>
    <w:rsid w:val="00BE56B8"/>
    <w:rsid w:val="00BE6D29"/>
    <w:rsid w:val="00BE73D4"/>
    <w:rsid w:val="00BF1031"/>
    <w:rsid w:val="00BF301A"/>
    <w:rsid w:val="00BF3521"/>
    <w:rsid w:val="00BF4F58"/>
    <w:rsid w:val="00BF5234"/>
    <w:rsid w:val="00BF566B"/>
    <w:rsid w:val="00BF5C76"/>
    <w:rsid w:val="00BF640E"/>
    <w:rsid w:val="00C01199"/>
    <w:rsid w:val="00C01498"/>
    <w:rsid w:val="00C014EF"/>
    <w:rsid w:val="00C02DA0"/>
    <w:rsid w:val="00C03A68"/>
    <w:rsid w:val="00C03EAF"/>
    <w:rsid w:val="00C07F5E"/>
    <w:rsid w:val="00C10610"/>
    <w:rsid w:val="00C109FF"/>
    <w:rsid w:val="00C11B00"/>
    <w:rsid w:val="00C11FA5"/>
    <w:rsid w:val="00C13BA4"/>
    <w:rsid w:val="00C13E0F"/>
    <w:rsid w:val="00C20DB5"/>
    <w:rsid w:val="00C249B1"/>
    <w:rsid w:val="00C250CC"/>
    <w:rsid w:val="00C254B1"/>
    <w:rsid w:val="00C256AF"/>
    <w:rsid w:val="00C25F3C"/>
    <w:rsid w:val="00C2675B"/>
    <w:rsid w:val="00C30793"/>
    <w:rsid w:val="00C318A3"/>
    <w:rsid w:val="00C32595"/>
    <w:rsid w:val="00C32E02"/>
    <w:rsid w:val="00C41AC9"/>
    <w:rsid w:val="00C41B7F"/>
    <w:rsid w:val="00C42AC4"/>
    <w:rsid w:val="00C43178"/>
    <w:rsid w:val="00C43955"/>
    <w:rsid w:val="00C4431A"/>
    <w:rsid w:val="00C4452D"/>
    <w:rsid w:val="00C5002F"/>
    <w:rsid w:val="00C51FAA"/>
    <w:rsid w:val="00C52F22"/>
    <w:rsid w:val="00C54ED8"/>
    <w:rsid w:val="00C5563D"/>
    <w:rsid w:val="00C557C2"/>
    <w:rsid w:val="00C572F6"/>
    <w:rsid w:val="00C57A34"/>
    <w:rsid w:val="00C6763A"/>
    <w:rsid w:val="00C73ABB"/>
    <w:rsid w:val="00C75891"/>
    <w:rsid w:val="00C75F80"/>
    <w:rsid w:val="00C760D7"/>
    <w:rsid w:val="00C76462"/>
    <w:rsid w:val="00C76A65"/>
    <w:rsid w:val="00C76FC8"/>
    <w:rsid w:val="00C7780E"/>
    <w:rsid w:val="00C81528"/>
    <w:rsid w:val="00C8173C"/>
    <w:rsid w:val="00C82E7F"/>
    <w:rsid w:val="00C830F0"/>
    <w:rsid w:val="00C833B8"/>
    <w:rsid w:val="00C85DC3"/>
    <w:rsid w:val="00C86401"/>
    <w:rsid w:val="00C879FB"/>
    <w:rsid w:val="00C90ED2"/>
    <w:rsid w:val="00C91B25"/>
    <w:rsid w:val="00C91F08"/>
    <w:rsid w:val="00C92424"/>
    <w:rsid w:val="00C92622"/>
    <w:rsid w:val="00C930A4"/>
    <w:rsid w:val="00C94FC9"/>
    <w:rsid w:val="00C9511F"/>
    <w:rsid w:val="00CA10E5"/>
    <w:rsid w:val="00CA149A"/>
    <w:rsid w:val="00CA27D2"/>
    <w:rsid w:val="00CA2A1D"/>
    <w:rsid w:val="00CA4B62"/>
    <w:rsid w:val="00CA4F8B"/>
    <w:rsid w:val="00CA5217"/>
    <w:rsid w:val="00CA5564"/>
    <w:rsid w:val="00CA5B52"/>
    <w:rsid w:val="00CA7693"/>
    <w:rsid w:val="00CB10D2"/>
    <w:rsid w:val="00CB26FA"/>
    <w:rsid w:val="00CB3970"/>
    <w:rsid w:val="00CB3FEF"/>
    <w:rsid w:val="00CB7812"/>
    <w:rsid w:val="00CC2DDC"/>
    <w:rsid w:val="00CC35DD"/>
    <w:rsid w:val="00CC5FA3"/>
    <w:rsid w:val="00CC62A0"/>
    <w:rsid w:val="00CC67EE"/>
    <w:rsid w:val="00CC7E11"/>
    <w:rsid w:val="00CD09F8"/>
    <w:rsid w:val="00CD0E52"/>
    <w:rsid w:val="00CD5E50"/>
    <w:rsid w:val="00CD5F05"/>
    <w:rsid w:val="00CD7815"/>
    <w:rsid w:val="00CD7D5C"/>
    <w:rsid w:val="00CE0C0A"/>
    <w:rsid w:val="00CE7FDA"/>
    <w:rsid w:val="00CF10D3"/>
    <w:rsid w:val="00CF5891"/>
    <w:rsid w:val="00CF6582"/>
    <w:rsid w:val="00D007F3"/>
    <w:rsid w:val="00D01583"/>
    <w:rsid w:val="00D021D4"/>
    <w:rsid w:val="00D03448"/>
    <w:rsid w:val="00D0448A"/>
    <w:rsid w:val="00D057CC"/>
    <w:rsid w:val="00D066E6"/>
    <w:rsid w:val="00D07EC7"/>
    <w:rsid w:val="00D117E1"/>
    <w:rsid w:val="00D14978"/>
    <w:rsid w:val="00D14B6D"/>
    <w:rsid w:val="00D200FA"/>
    <w:rsid w:val="00D2050A"/>
    <w:rsid w:val="00D20E48"/>
    <w:rsid w:val="00D22BD1"/>
    <w:rsid w:val="00D23726"/>
    <w:rsid w:val="00D25D64"/>
    <w:rsid w:val="00D274A0"/>
    <w:rsid w:val="00D31623"/>
    <w:rsid w:val="00D327B5"/>
    <w:rsid w:val="00D33756"/>
    <w:rsid w:val="00D34476"/>
    <w:rsid w:val="00D3511F"/>
    <w:rsid w:val="00D36787"/>
    <w:rsid w:val="00D37270"/>
    <w:rsid w:val="00D37FD5"/>
    <w:rsid w:val="00D463CD"/>
    <w:rsid w:val="00D50910"/>
    <w:rsid w:val="00D561C3"/>
    <w:rsid w:val="00D601F1"/>
    <w:rsid w:val="00D60C5F"/>
    <w:rsid w:val="00D62293"/>
    <w:rsid w:val="00D64D4F"/>
    <w:rsid w:val="00D675FC"/>
    <w:rsid w:val="00D67A4E"/>
    <w:rsid w:val="00D72957"/>
    <w:rsid w:val="00D73253"/>
    <w:rsid w:val="00D739DF"/>
    <w:rsid w:val="00D739F6"/>
    <w:rsid w:val="00D75DF5"/>
    <w:rsid w:val="00D80179"/>
    <w:rsid w:val="00D80EEF"/>
    <w:rsid w:val="00D82681"/>
    <w:rsid w:val="00D86659"/>
    <w:rsid w:val="00D86809"/>
    <w:rsid w:val="00D879CC"/>
    <w:rsid w:val="00D924DF"/>
    <w:rsid w:val="00D9403D"/>
    <w:rsid w:val="00D967A4"/>
    <w:rsid w:val="00DA0E44"/>
    <w:rsid w:val="00DA4451"/>
    <w:rsid w:val="00DA5904"/>
    <w:rsid w:val="00DA655F"/>
    <w:rsid w:val="00DB058E"/>
    <w:rsid w:val="00DB133D"/>
    <w:rsid w:val="00DB18ED"/>
    <w:rsid w:val="00DB225B"/>
    <w:rsid w:val="00DB2E6C"/>
    <w:rsid w:val="00DB3C3E"/>
    <w:rsid w:val="00DB5F6A"/>
    <w:rsid w:val="00DB6D18"/>
    <w:rsid w:val="00DC0547"/>
    <w:rsid w:val="00DC15C3"/>
    <w:rsid w:val="00DC1809"/>
    <w:rsid w:val="00DC42FC"/>
    <w:rsid w:val="00DC7D32"/>
    <w:rsid w:val="00DD0D13"/>
    <w:rsid w:val="00DD1176"/>
    <w:rsid w:val="00DD4335"/>
    <w:rsid w:val="00DD540F"/>
    <w:rsid w:val="00DD6A0D"/>
    <w:rsid w:val="00DD7D4D"/>
    <w:rsid w:val="00DE10AD"/>
    <w:rsid w:val="00DE23BE"/>
    <w:rsid w:val="00DE2432"/>
    <w:rsid w:val="00DE5DD2"/>
    <w:rsid w:val="00DE6599"/>
    <w:rsid w:val="00DF3175"/>
    <w:rsid w:val="00DF6D66"/>
    <w:rsid w:val="00E01D5C"/>
    <w:rsid w:val="00E033B2"/>
    <w:rsid w:val="00E03609"/>
    <w:rsid w:val="00E05B2A"/>
    <w:rsid w:val="00E06C3F"/>
    <w:rsid w:val="00E07BF1"/>
    <w:rsid w:val="00E12AC7"/>
    <w:rsid w:val="00E138AD"/>
    <w:rsid w:val="00E15C4E"/>
    <w:rsid w:val="00E20137"/>
    <w:rsid w:val="00E207E9"/>
    <w:rsid w:val="00E224CC"/>
    <w:rsid w:val="00E22977"/>
    <w:rsid w:val="00E23BB2"/>
    <w:rsid w:val="00E24968"/>
    <w:rsid w:val="00E258AF"/>
    <w:rsid w:val="00E26BE1"/>
    <w:rsid w:val="00E31542"/>
    <w:rsid w:val="00E3223F"/>
    <w:rsid w:val="00E329FD"/>
    <w:rsid w:val="00E334C9"/>
    <w:rsid w:val="00E3373C"/>
    <w:rsid w:val="00E3391B"/>
    <w:rsid w:val="00E3484C"/>
    <w:rsid w:val="00E37607"/>
    <w:rsid w:val="00E37B83"/>
    <w:rsid w:val="00E415BC"/>
    <w:rsid w:val="00E42A78"/>
    <w:rsid w:val="00E43997"/>
    <w:rsid w:val="00E4626B"/>
    <w:rsid w:val="00E472AC"/>
    <w:rsid w:val="00E519D0"/>
    <w:rsid w:val="00E52162"/>
    <w:rsid w:val="00E52B14"/>
    <w:rsid w:val="00E53CE1"/>
    <w:rsid w:val="00E53EE3"/>
    <w:rsid w:val="00E53F21"/>
    <w:rsid w:val="00E555DA"/>
    <w:rsid w:val="00E57240"/>
    <w:rsid w:val="00E62510"/>
    <w:rsid w:val="00E63297"/>
    <w:rsid w:val="00E647C0"/>
    <w:rsid w:val="00E64B2C"/>
    <w:rsid w:val="00E66617"/>
    <w:rsid w:val="00E675D6"/>
    <w:rsid w:val="00E73966"/>
    <w:rsid w:val="00E75506"/>
    <w:rsid w:val="00E7654D"/>
    <w:rsid w:val="00E765CB"/>
    <w:rsid w:val="00E76DFE"/>
    <w:rsid w:val="00E82899"/>
    <w:rsid w:val="00E82D1B"/>
    <w:rsid w:val="00E85E55"/>
    <w:rsid w:val="00E90CC8"/>
    <w:rsid w:val="00E90DCB"/>
    <w:rsid w:val="00E90E6A"/>
    <w:rsid w:val="00E93AF5"/>
    <w:rsid w:val="00E93DB8"/>
    <w:rsid w:val="00E95BA4"/>
    <w:rsid w:val="00E95FDC"/>
    <w:rsid w:val="00E96A57"/>
    <w:rsid w:val="00E9784B"/>
    <w:rsid w:val="00E97FF5"/>
    <w:rsid w:val="00EA1292"/>
    <w:rsid w:val="00EA226B"/>
    <w:rsid w:val="00EA359E"/>
    <w:rsid w:val="00EA53C2"/>
    <w:rsid w:val="00EA6288"/>
    <w:rsid w:val="00EA6B26"/>
    <w:rsid w:val="00EB0466"/>
    <w:rsid w:val="00EB2261"/>
    <w:rsid w:val="00EB2B01"/>
    <w:rsid w:val="00EB55CC"/>
    <w:rsid w:val="00EB708A"/>
    <w:rsid w:val="00EB76FA"/>
    <w:rsid w:val="00EC1B5B"/>
    <w:rsid w:val="00EC47BA"/>
    <w:rsid w:val="00EC6FA9"/>
    <w:rsid w:val="00ED2452"/>
    <w:rsid w:val="00ED38DA"/>
    <w:rsid w:val="00ED69CF"/>
    <w:rsid w:val="00EE17AD"/>
    <w:rsid w:val="00EE1C7D"/>
    <w:rsid w:val="00EE30D3"/>
    <w:rsid w:val="00EE339C"/>
    <w:rsid w:val="00EE3418"/>
    <w:rsid w:val="00EE3482"/>
    <w:rsid w:val="00EE51FF"/>
    <w:rsid w:val="00EE59AB"/>
    <w:rsid w:val="00EE754D"/>
    <w:rsid w:val="00EE7981"/>
    <w:rsid w:val="00EF0185"/>
    <w:rsid w:val="00EF4C8B"/>
    <w:rsid w:val="00EF5622"/>
    <w:rsid w:val="00EF5652"/>
    <w:rsid w:val="00EF56EB"/>
    <w:rsid w:val="00EF5F35"/>
    <w:rsid w:val="00EF6BA1"/>
    <w:rsid w:val="00EF7012"/>
    <w:rsid w:val="00EF760E"/>
    <w:rsid w:val="00EF78FA"/>
    <w:rsid w:val="00F001B9"/>
    <w:rsid w:val="00F00CDE"/>
    <w:rsid w:val="00F010E1"/>
    <w:rsid w:val="00F01C9A"/>
    <w:rsid w:val="00F02058"/>
    <w:rsid w:val="00F030C3"/>
    <w:rsid w:val="00F03ED5"/>
    <w:rsid w:val="00F0641C"/>
    <w:rsid w:val="00F116F1"/>
    <w:rsid w:val="00F11B38"/>
    <w:rsid w:val="00F11DE8"/>
    <w:rsid w:val="00F1207E"/>
    <w:rsid w:val="00F12CF1"/>
    <w:rsid w:val="00F15435"/>
    <w:rsid w:val="00F158B9"/>
    <w:rsid w:val="00F15AC0"/>
    <w:rsid w:val="00F15C7D"/>
    <w:rsid w:val="00F17EBB"/>
    <w:rsid w:val="00F20ABB"/>
    <w:rsid w:val="00F20FBA"/>
    <w:rsid w:val="00F21362"/>
    <w:rsid w:val="00F21958"/>
    <w:rsid w:val="00F227BB"/>
    <w:rsid w:val="00F22DB9"/>
    <w:rsid w:val="00F23681"/>
    <w:rsid w:val="00F24655"/>
    <w:rsid w:val="00F24F02"/>
    <w:rsid w:val="00F25ABF"/>
    <w:rsid w:val="00F27EE6"/>
    <w:rsid w:val="00F3199E"/>
    <w:rsid w:val="00F31F8F"/>
    <w:rsid w:val="00F35D0A"/>
    <w:rsid w:val="00F37530"/>
    <w:rsid w:val="00F4148B"/>
    <w:rsid w:val="00F416BB"/>
    <w:rsid w:val="00F42F68"/>
    <w:rsid w:val="00F4320A"/>
    <w:rsid w:val="00F54FD1"/>
    <w:rsid w:val="00F56DB7"/>
    <w:rsid w:val="00F57222"/>
    <w:rsid w:val="00F576A9"/>
    <w:rsid w:val="00F57B40"/>
    <w:rsid w:val="00F6199F"/>
    <w:rsid w:val="00F61A2C"/>
    <w:rsid w:val="00F61AD4"/>
    <w:rsid w:val="00F623C3"/>
    <w:rsid w:val="00F63A66"/>
    <w:rsid w:val="00F63B1F"/>
    <w:rsid w:val="00F6401A"/>
    <w:rsid w:val="00F64434"/>
    <w:rsid w:val="00F666A9"/>
    <w:rsid w:val="00F7094F"/>
    <w:rsid w:val="00F70C2C"/>
    <w:rsid w:val="00F713F4"/>
    <w:rsid w:val="00F71B51"/>
    <w:rsid w:val="00F73436"/>
    <w:rsid w:val="00F74D5B"/>
    <w:rsid w:val="00F74E65"/>
    <w:rsid w:val="00F75014"/>
    <w:rsid w:val="00F752C3"/>
    <w:rsid w:val="00F76E3A"/>
    <w:rsid w:val="00F815AB"/>
    <w:rsid w:val="00F83C10"/>
    <w:rsid w:val="00F846BF"/>
    <w:rsid w:val="00F87FC7"/>
    <w:rsid w:val="00F91925"/>
    <w:rsid w:val="00F91D74"/>
    <w:rsid w:val="00F92808"/>
    <w:rsid w:val="00F95318"/>
    <w:rsid w:val="00F97FE6"/>
    <w:rsid w:val="00FA216A"/>
    <w:rsid w:val="00FA2260"/>
    <w:rsid w:val="00FA56BC"/>
    <w:rsid w:val="00FA5CCD"/>
    <w:rsid w:val="00FB0CDA"/>
    <w:rsid w:val="00FB1286"/>
    <w:rsid w:val="00FB2EC8"/>
    <w:rsid w:val="00FB4AF6"/>
    <w:rsid w:val="00FB4B8F"/>
    <w:rsid w:val="00FC16B9"/>
    <w:rsid w:val="00FC4C69"/>
    <w:rsid w:val="00FD05F0"/>
    <w:rsid w:val="00FD0611"/>
    <w:rsid w:val="00FD1912"/>
    <w:rsid w:val="00FD388F"/>
    <w:rsid w:val="00FD5B97"/>
    <w:rsid w:val="00FD79E7"/>
    <w:rsid w:val="00FE3558"/>
    <w:rsid w:val="00FE4BDD"/>
    <w:rsid w:val="00FF5B65"/>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94"/>
    <w:pPr>
      <w:jc w:val="both"/>
    </w:pPr>
  </w:style>
  <w:style w:type="paragraph" w:styleId="Heading1">
    <w:name w:val="heading 1"/>
    <w:basedOn w:val="Normal"/>
    <w:next w:val="Normal"/>
    <w:link w:val="Heading1Char"/>
    <w:uiPriority w:val="9"/>
    <w:qFormat/>
    <w:rsid w:val="00614694"/>
    <w:pPr>
      <w:keepNext/>
      <w:keepLines/>
      <w:spacing w:before="120" w:after="120"/>
      <w:outlineLvl w:val="0"/>
    </w:pPr>
    <w:rPr>
      <w:rFonts w:eastAsia="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694"/>
    <w:rPr>
      <w:rFonts w:eastAsia="Times New Roman" w:cs="Times New Roman"/>
      <w:bCs/>
      <w:szCs w:val="28"/>
    </w:rPr>
  </w:style>
  <w:style w:type="paragraph" w:styleId="Header">
    <w:name w:val="header"/>
    <w:basedOn w:val="Normal"/>
    <w:link w:val="HeaderChar"/>
    <w:uiPriority w:val="99"/>
    <w:unhideWhenUsed/>
    <w:qFormat/>
    <w:rsid w:val="00614694"/>
    <w:pPr>
      <w:tabs>
        <w:tab w:val="center" w:pos="4680"/>
        <w:tab w:val="right" w:pos="9360"/>
      </w:tabs>
    </w:pPr>
  </w:style>
  <w:style w:type="character" w:customStyle="1" w:styleId="HeaderChar">
    <w:name w:val="Header Char"/>
    <w:basedOn w:val="DefaultParagraphFont"/>
    <w:link w:val="Header"/>
    <w:uiPriority w:val="99"/>
    <w:rsid w:val="00614694"/>
    <w:rPr>
      <w:rFonts w:cs="Times New Roman"/>
    </w:rPr>
  </w:style>
  <w:style w:type="paragraph" w:styleId="Footer">
    <w:name w:val="footer"/>
    <w:basedOn w:val="Normal"/>
    <w:link w:val="FooterChar"/>
    <w:uiPriority w:val="99"/>
    <w:unhideWhenUsed/>
    <w:rsid w:val="00614694"/>
    <w:pPr>
      <w:tabs>
        <w:tab w:val="center" w:pos="4680"/>
        <w:tab w:val="right" w:pos="9360"/>
      </w:tabs>
    </w:pPr>
  </w:style>
  <w:style w:type="character" w:customStyle="1" w:styleId="FooterChar">
    <w:name w:val="Footer Char"/>
    <w:basedOn w:val="DefaultParagraphFont"/>
    <w:link w:val="Footer"/>
    <w:uiPriority w:val="99"/>
    <w:rsid w:val="00614694"/>
    <w:rPr>
      <w:rFonts w:cs="Times New Roman"/>
    </w:rPr>
  </w:style>
  <w:style w:type="paragraph" w:customStyle="1" w:styleId="TS">
    <w:name w:val="TS"/>
    <w:basedOn w:val="Normal"/>
    <w:link w:val="TSChar"/>
    <w:qFormat/>
    <w:rsid w:val="00BD367E"/>
    <w:pPr>
      <w:spacing w:before="120" w:after="120"/>
    </w:pPr>
  </w:style>
  <w:style w:type="character" w:customStyle="1" w:styleId="TSChar">
    <w:name w:val="TS Char"/>
    <w:basedOn w:val="DefaultParagraphFont"/>
    <w:link w:val="TS"/>
    <w:rsid w:val="00BD367E"/>
    <w:rPr>
      <w:rFonts w:cs="Times New Roman"/>
    </w:rPr>
  </w:style>
  <w:style w:type="paragraph" w:customStyle="1" w:styleId="kgui">
    <w:name w:val="kgui"/>
    <w:basedOn w:val="Normal"/>
    <w:rsid w:val="00B22DEF"/>
    <w:pPr>
      <w:tabs>
        <w:tab w:val="left" w:pos="567"/>
        <w:tab w:val="center" w:pos="2346"/>
        <w:tab w:val="right" w:pos="9246"/>
      </w:tabs>
      <w:spacing w:before="480" w:after="360"/>
      <w:jc w:val="center"/>
    </w:pPr>
    <w:rPr>
      <w:rFonts w:ascii=".VnTimeH" w:eastAsia="Times New Roman" w:hAnsi=".VnTimeH"/>
      <w:b/>
      <w:szCs w:val="20"/>
    </w:rPr>
  </w:style>
  <w:style w:type="paragraph" w:styleId="BodyTextIndent">
    <w:name w:val="Body Text Indent"/>
    <w:basedOn w:val="Normal"/>
    <w:link w:val="BodyTextIndentChar"/>
    <w:rsid w:val="00AD3C2C"/>
    <w:pPr>
      <w:ind w:firstLine="720"/>
    </w:pPr>
    <w:rPr>
      <w:rFonts w:eastAsia="Times New Roman"/>
      <w:szCs w:val="20"/>
    </w:rPr>
  </w:style>
  <w:style w:type="character" w:customStyle="1" w:styleId="BodyTextIndentChar">
    <w:name w:val="Body Text Indent Char"/>
    <w:basedOn w:val="DefaultParagraphFont"/>
    <w:link w:val="BodyTextIndent"/>
    <w:rsid w:val="00AD3C2C"/>
    <w:rPr>
      <w:rFonts w:eastAsia="Times New Roman" w:cs="Times New Roman"/>
      <w:szCs w:val="20"/>
    </w:rPr>
  </w:style>
  <w:style w:type="character" w:styleId="FootnoteReference">
    <w:name w:val="footnote reference"/>
    <w:aliases w:val="Ref,de nota al pie,Footnote,Footnote text,ftref,BearingPoint,16 Point,Superscript 6 Point,fr,Footnote Text1,f,Footnote + Arial,10 pt,Black,Footnote Text11,BVI fnr,(NECG) Footnote Reference, BVI fnr,footnote ref,Footnote text + 13 pt,R"/>
    <w:link w:val="ftrefCharCharChar1Char"/>
    <w:unhideWhenUsed/>
    <w:qFormat/>
    <w:rsid w:val="00716449"/>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716449"/>
    <w:pPr>
      <w:spacing w:before="120" w:after="160" w:line="240" w:lineRule="exact"/>
      <w:ind w:firstLine="709"/>
      <w:jc w:val="left"/>
    </w:pPr>
    <w:rPr>
      <w:rFonts w:cstheme="minorBidi"/>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716449"/>
    <w:pPr>
      <w:spacing w:before="120" w:after="120"/>
      <w:ind w:firstLine="709"/>
    </w:pPr>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716449"/>
    <w:rPr>
      <w:rFonts w:cs="Times New Roman"/>
      <w:sz w:val="20"/>
      <w:szCs w:val="20"/>
      <w:lang w:val="x-none" w:eastAsia="x-none"/>
    </w:rPr>
  </w:style>
  <w:style w:type="character" w:customStyle="1" w:styleId="Bodytext3NotBold">
    <w:name w:val="Body text (3) + Not Bold"/>
    <w:aliases w:val="Spacing 0 pt,Body text (2) + 12 pt,Bold"/>
    <w:rsid w:val="00265AA8"/>
    <w:rPr>
      <w:rFonts w:ascii="Times New Roman" w:eastAsia="Times New Roman" w:hAnsi="Times New Roman"/>
      <w:b/>
      <w:bCs/>
      <w:color w:val="000000"/>
      <w:spacing w:val="0"/>
      <w:w w:val="100"/>
      <w:position w:val="0"/>
      <w:sz w:val="26"/>
      <w:szCs w:val="26"/>
      <w:shd w:val="clear" w:color="auto" w:fill="FFFFFF"/>
      <w:lang w:val="vi-VN" w:eastAsia="vi-VN" w:bidi="vi-VN"/>
    </w:rPr>
  </w:style>
  <w:style w:type="paragraph" w:styleId="Revision">
    <w:name w:val="Revision"/>
    <w:hidden/>
    <w:uiPriority w:val="99"/>
    <w:semiHidden/>
    <w:rsid w:val="00412775"/>
  </w:style>
  <w:style w:type="paragraph" w:styleId="BalloonText">
    <w:name w:val="Balloon Text"/>
    <w:basedOn w:val="Normal"/>
    <w:link w:val="BalloonTextChar"/>
    <w:uiPriority w:val="99"/>
    <w:semiHidden/>
    <w:unhideWhenUsed/>
    <w:rsid w:val="00D01583"/>
    <w:rPr>
      <w:rFonts w:ascii="Tahoma" w:hAnsi="Tahoma" w:cs="Tahoma"/>
      <w:sz w:val="16"/>
      <w:szCs w:val="16"/>
    </w:rPr>
  </w:style>
  <w:style w:type="character" w:customStyle="1" w:styleId="BalloonTextChar">
    <w:name w:val="Balloon Text Char"/>
    <w:basedOn w:val="DefaultParagraphFont"/>
    <w:link w:val="BalloonText"/>
    <w:uiPriority w:val="99"/>
    <w:semiHidden/>
    <w:rsid w:val="00D01583"/>
    <w:rPr>
      <w:rFonts w:ascii="Tahoma" w:hAnsi="Tahoma" w:cs="Tahoma"/>
      <w:sz w:val="16"/>
      <w:szCs w:val="16"/>
    </w:rPr>
  </w:style>
  <w:style w:type="table" w:styleId="TableGrid">
    <w:name w:val="Table Grid"/>
    <w:basedOn w:val="TableNormal"/>
    <w:uiPriority w:val="39"/>
    <w:unhideWhenUsed/>
    <w:rsid w:val="00396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22DB9"/>
    <w:rPr>
      <w:rFonts w:ascii="Times New Roman" w:hAnsi="Times New Roman" w:cs="Times New Roman" w:hint="default"/>
      <w:b w:val="0"/>
      <w:bCs w:val="0"/>
      <w:i w:val="0"/>
      <w:iCs w:val="0"/>
      <w:color w:val="000000"/>
      <w:sz w:val="28"/>
      <w:szCs w:val="28"/>
    </w:rPr>
  </w:style>
  <w:style w:type="paragraph" w:customStyle="1" w:styleId="f1">
    <w:name w:val="f1"/>
    <w:aliases w:val="Footnote Text111,BVI"/>
    <w:basedOn w:val="Normal"/>
    <w:rsid w:val="00AE03C5"/>
    <w:pPr>
      <w:spacing w:after="160" w:line="240" w:lineRule="exact"/>
      <w:jc w:val="left"/>
    </w:pPr>
    <w:rPr>
      <w:rFonts w:eastAsia="Times New Roman"/>
      <w:sz w:val="20"/>
      <w:szCs w:val="20"/>
      <w:vertAlign w:val="superscript"/>
    </w:rPr>
  </w:style>
  <w:style w:type="paragraph" w:customStyle="1" w:styleId="CharChar1CharCharCharChar">
    <w:name w:val="Char Char1 Char Char Char Char"/>
    <w:basedOn w:val="Normal"/>
    <w:next w:val="Normal"/>
    <w:autoRedefine/>
    <w:semiHidden/>
    <w:rsid w:val="00EF5622"/>
    <w:pPr>
      <w:spacing w:before="120" w:after="120" w:line="312" w:lineRule="auto"/>
      <w:jc w:val="left"/>
    </w:pPr>
    <w:rPr>
      <w:rFonts w:eastAsia="Times New Roman"/>
    </w:rPr>
  </w:style>
  <w:style w:type="paragraph" w:customStyle="1" w:styleId="msonormalcxspmiddle">
    <w:name w:val="msonormalcxspmiddle"/>
    <w:basedOn w:val="Normal"/>
    <w:rsid w:val="00EF5622"/>
    <w:pPr>
      <w:spacing w:before="100" w:beforeAutospacing="1" w:after="100" w:afterAutospacing="1"/>
      <w:jc w:val="left"/>
    </w:pPr>
    <w:rPr>
      <w:rFonts w:eastAsia="Times New Roman"/>
      <w:sz w:val="24"/>
      <w:szCs w:val="24"/>
    </w:rPr>
  </w:style>
  <w:style w:type="paragraph" w:customStyle="1" w:styleId="ts0">
    <w:name w:val="ts"/>
    <w:basedOn w:val="Normal"/>
    <w:link w:val="tsChar0"/>
    <w:qFormat/>
    <w:rsid w:val="00CA27D2"/>
    <w:pPr>
      <w:spacing w:before="120"/>
      <w:ind w:firstLine="720"/>
    </w:pPr>
  </w:style>
  <w:style w:type="character" w:customStyle="1" w:styleId="tsChar0">
    <w:name w:val="ts Char"/>
    <w:basedOn w:val="DefaultParagraphFont"/>
    <w:link w:val="ts0"/>
    <w:rsid w:val="00CA27D2"/>
    <w:rPr>
      <w:rFonts w:cs="Times New Roman"/>
    </w:rPr>
  </w:style>
  <w:style w:type="paragraph" w:styleId="BodyText">
    <w:name w:val="Body Text"/>
    <w:basedOn w:val="Normal"/>
    <w:link w:val="BodyTextChar"/>
    <w:uiPriority w:val="99"/>
    <w:semiHidden/>
    <w:unhideWhenUsed/>
    <w:rsid w:val="004E19B3"/>
    <w:pPr>
      <w:spacing w:after="120"/>
    </w:pPr>
  </w:style>
  <w:style w:type="character" w:customStyle="1" w:styleId="BodyTextChar">
    <w:name w:val="Body Text Char"/>
    <w:basedOn w:val="DefaultParagraphFont"/>
    <w:link w:val="BodyText"/>
    <w:uiPriority w:val="99"/>
    <w:semiHidden/>
    <w:rsid w:val="004E19B3"/>
    <w:rPr>
      <w:rFonts w:cs="Times New Roman"/>
    </w:rPr>
  </w:style>
  <w:style w:type="character" w:styleId="CommentReference">
    <w:name w:val="annotation reference"/>
    <w:basedOn w:val="DefaultParagraphFont"/>
    <w:uiPriority w:val="99"/>
    <w:semiHidden/>
    <w:unhideWhenUsed/>
    <w:rsid w:val="00431B38"/>
    <w:rPr>
      <w:sz w:val="16"/>
      <w:szCs w:val="16"/>
    </w:rPr>
  </w:style>
  <w:style w:type="paragraph" w:styleId="CommentText">
    <w:name w:val="annotation text"/>
    <w:basedOn w:val="Normal"/>
    <w:link w:val="CommentTextChar"/>
    <w:uiPriority w:val="99"/>
    <w:semiHidden/>
    <w:unhideWhenUsed/>
    <w:rsid w:val="00431B38"/>
    <w:rPr>
      <w:sz w:val="20"/>
      <w:szCs w:val="20"/>
    </w:rPr>
  </w:style>
  <w:style w:type="character" w:customStyle="1" w:styleId="CommentTextChar">
    <w:name w:val="Comment Text Char"/>
    <w:basedOn w:val="DefaultParagraphFont"/>
    <w:link w:val="CommentText"/>
    <w:uiPriority w:val="99"/>
    <w:semiHidden/>
    <w:rsid w:val="00431B38"/>
    <w:rPr>
      <w:rFonts w:cs="Times New Roman"/>
      <w:sz w:val="20"/>
      <w:szCs w:val="20"/>
    </w:rPr>
  </w:style>
  <w:style w:type="paragraph" w:styleId="CommentSubject">
    <w:name w:val="annotation subject"/>
    <w:basedOn w:val="CommentText"/>
    <w:next w:val="CommentText"/>
    <w:link w:val="CommentSubjectChar"/>
    <w:uiPriority w:val="99"/>
    <w:semiHidden/>
    <w:unhideWhenUsed/>
    <w:rsid w:val="00431B38"/>
    <w:rPr>
      <w:b/>
      <w:bCs/>
    </w:rPr>
  </w:style>
  <w:style w:type="character" w:customStyle="1" w:styleId="CommentSubjectChar">
    <w:name w:val="Comment Subject Char"/>
    <w:basedOn w:val="CommentTextChar"/>
    <w:link w:val="CommentSubject"/>
    <w:uiPriority w:val="99"/>
    <w:semiHidden/>
    <w:rsid w:val="00431B38"/>
    <w:rPr>
      <w:rFonts w:cs="Times New Roman"/>
      <w:b/>
      <w:bCs/>
      <w:sz w:val="20"/>
      <w:szCs w:val="20"/>
    </w:rPr>
  </w:style>
  <w:style w:type="character" w:styleId="Strong">
    <w:name w:val="Strong"/>
    <w:qFormat/>
    <w:rsid w:val="007562C5"/>
    <w:rPr>
      <w:b/>
      <w:bCs/>
    </w:rPr>
  </w:style>
  <w:style w:type="paragraph" w:styleId="ListParagraph">
    <w:name w:val="List Paragraph"/>
    <w:basedOn w:val="Normal"/>
    <w:uiPriority w:val="34"/>
    <w:qFormat/>
    <w:rsid w:val="004310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94"/>
    <w:pPr>
      <w:jc w:val="both"/>
    </w:pPr>
  </w:style>
  <w:style w:type="paragraph" w:styleId="Heading1">
    <w:name w:val="heading 1"/>
    <w:basedOn w:val="Normal"/>
    <w:next w:val="Normal"/>
    <w:link w:val="Heading1Char"/>
    <w:uiPriority w:val="9"/>
    <w:qFormat/>
    <w:rsid w:val="00614694"/>
    <w:pPr>
      <w:keepNext/>
      <w:keepLines/>
      <w:spacing w:before="120" w:after="120"/>
      <w:outlineLvl w:val="0"/>
    </w:pPr>
    <w:rPr>
      <w:rFonts w:eastAsia="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694"/>
    <w:rPr>
      <w:rFonts w:eastAsia="Times New Roman" w:cs="Times New Roman"/>
      <w:bCs/>
      <w:szCs w:val="28"/>
    </w:rPr>
  </w:style>
  <w:style w:type="paragraph" w:styleId="Header">
    <w:name w:val="header"/>
    <w:basedOn w:val="Normal"/>
    <w:link w:val="HeaderChar"/>
    <w:uiPriority w:val="99"/>
    <w:unhideWhenUsed/>
    <w:qFormat/>
    <w:rsid w:val="00614694"/>
    <w:pPr>
      <w:tabs>
        <w:tab w:val="center" w:pos="4680"/>
        <w:tab w:val="right" w:pos="9360"/>
      </w:tabs>
    </w:pPr>
  </w:style>
  <w:style w:type="character" w:customStyle="1" w:styleId="HeaderChar">
    <w:name w:val="Header Char"/>
    <w:basedOn w:val="DefaultParagraphFont"/>
    <w:link w:val="Header"/>
    <w:uiPriority w:val="99"/>
    <w:rsid w:val="00614694"/>
    <w:rPr>
      <w:rFonts w:cs="Times New Roman"/>
    </w:rPr>
  </w:style>
  <w:style w:type="paragraph" w:styleId="Footer">
    <w:name w:val="footer"/>
    <w:basedOn w:val="Normal"/>
    <w:link w:val="FooterChar"/>
    <w:uiPriority w:val="99"/>
    <w:unhideWhenUsed/>
    <w:rsid w:val="00614694"/>
    <w:pPr>
      <w:tabs>
        <w:tab w:val="center" w:pos="4680"/>
        <w:tab w:val="right" w:pos="9360"/>
      </w:tabs>
    </w:pPr>
  </w:style>
  <w:style w:type="character" w:customStyle="1" w:styleId="FooterChar">
    <w:name w:val="Footer Char"/>
    <w:basedOn w:val="DefaultParagraphFont"/>
    <w:link w:val="Footer"/>
    <w:uiPriority w:val="99"/>
    <w:rsid w:val="00614694"/>
    <w:rPr>
      <w:rFonts w:cs="Times New Roman"/>
    </w:rPr>
  </w:style>
  <w:style w:type="paragraph" w:customStyle="1" w:styleId="TS">
    <w:name w:val="TS"/>
    <w:basedOn w:val="Normal"/>
    <w:link w:val="TSChar"/>
    <w:qFormat/>
    <w:rsid w:val="00BD367E"/>
    <w:pPr>
      <w:spacing w:before="120" w:after="120"/>
    </w:pPr>
  </w:style>
  <w:style w:type="character" w:customStyle="1" w:styleId="TSChar">
    <w:name w:val="TS Char"/>
    <w:basedOn w:val="DefaultParagraphFont"/>
    <w:link w:val="TS"/>
    <w:rsid w:val="00BD367E"/>
    <w:rPr>
      <w:rFonts w:cs="Times New Roman"/>
    </w:rPr>
  </w:style>
  <w:style w:type="paragraph" w:customStyle="1" w:styleId="kgui">
    <w:name w:val="kgui"/>
    <w:basedOn w:val="Normal"/>
    <w:rsid w:val="00B22DEF"/>
    <w:pPr>
      <w:tabs>
        <w:tab w:val="left" w:pos="567"/>
        <w:tab w:val="center" w:pos="2346"/>
        <w:tab w:val="right" w:pos="9246"/>
      </w:tabs>
      <w:spacing w:before="480" w:after="360"/>
      <w:jc w:val="center"/>
    </w:pPr>
    <w:rPr>
      <w:rFonts w:ascii=".VnTimeH" w:eastAsia="Times New Roman" w:hAnsi=".VnTimeH"/>
      <w:b/>
      <w:szCs w:val="20"/>
    </w:rPr>
  </w:style>
  <w:style w:type="paragraph" w:styleId="BodyTextIndent">
    <w:name w:val="Body Text Indent"/>
    <w:basedOn w:val="Normal"/>
    <w:link w:val="BodyTextIndentChar"/>
    <w:rsid w:val="00AD3C2C"/>
    <w:pPr>
      <w:ind w:firstLine="720"/>
    </w:pPr>
    <w:rPr>
      <w:rFonts w:eastAsia="Times New Roman"/>
      <w:szCs w:val="20"/>
    </w:rPr>
  </w:style>
  <w:style w:type="character" w:customStyle="1" w:styleId="BodyTextIndentChar">
    <w:name w:val="Body Text Indent Char"/>
    <w:basedOn w:val="DefaultParagraphFont"/>
    <w:link w:val="BodyTextIndent"/>
    <w:rsid w:val="00AD3C2C"/>
    <w:rPr>
      <w:rFonts w:eastAsia="Times New Roman" w:cs="Times New Roman"/>
      <w:szCs w:val="20"/>
    </w:rPr>
  </w:style>
  <w:style w:type="character" w:styleId="FootnoteReference">
    <w:name w:val="footnote reference"/>
    <w:aliases w:val="Ref,de nota al pie,Footnote,Footnote text,ftref,BearingPoint,16 Point,Superscript 6 Point,fr,Footnote Text1,f,Footnote + Arial,10 pt,Black,Footnote Text11,BVI fnr,(NECG) Footnote Reference, BVI fnr,footnote ref,Footnote text + 13 pt,R"/>
    <w:link w:val="ftrefCharCharChar1Char"/>
    <w:unhideWhenUsed/>
    <w:qFormat/>
    <w:rsid w:val="00716449"/>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716449"/>
    <w:pPr>
      <w:spacing w:before="120" w:after="160" w:line="240" w:lineRule="exact"/>
      <w:ind w:firstLine="709"/>
      <w:jc w:val="left"/>
    </w:pPr>
    <w:rPr>
      <w:rFonts w:cstheme="minorBidi"/>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716449"/>
    <w:pPr>
      <w:spacing w:before="120" w:after="120"/>
      <w:ind w:firstLine="709"/>
    </w:pPr>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716449"/>
    <w:rPr>
      <w:rFonts w:cs="Times New Roman"/>
      <w:sz w:val="20"/>
      <w:szCs w:val="20"/>
      <w:lang w:val="x-none" w:eastAsia="x-none"/>
    </w:rPr>
  </w:style>
  <w:style w:type="character" w:customStyle="1" w:styleId="Bodytext3NotBold">
    <w:name w:val="Body text (3) + Not Bold"/>
    <w:aliases w:val="Spacing 0 pt,Body text (2) + 12 pt,Bold"/>
    <w:rsid w:val="00265AA8"/>
    <w:rPr>
      <w:rFonts w:ascii="Times New Roman" w:eastAsia="Times New Roman" w:hAnsi="Times New Roman"/>
      <w:b/>
      <w:bCs/>
      <w:color w:val="000000"/>
      <w:spacing w:val="0"/>
      <w:w w:val="100"/>
      <w:position w:val="0"/>
      <w:sz w:val="26"/>
      <w:szCs w:val="26"/>
      <w:shd w:val="clear" w:color="auto" w:fill="FFFFFF"/>
      <w:lang w:val="vi-VN" w:eastAsia="vi-VN" w:bidi="vi-VN"/>
    </w:rPr>
  </w:style>
  <w:style w:type="paragraph" w:styleId="Revision">
    <w:name w:val="Revision"/>
    <w:hidden/>
    <w:uiPriority w:val="99"/>
    <w:semiHidden/>
    <w:rsid w:val="00412775"/>
  </w:style>
  <w:style w:type="paragraph" w:styleId="BalloonText">
    <w:name w:val="Balloon Text"/>
    <w:basedOn w:val="Normal"/>
    <w:link w:val="BalloonTextChar"/>
    <w:uiPriority w:val="99"/>
    <w:semiHidden/>
    <w:unhideWhenUsed/>
    <w:rsid w:val="00D01583"/>
    <w:rPr>
      <w:rFonts w:ascii="Tahoma" w:hAnsi="Tahoma" w:cs="Tahoma"/>
      <w:sz w:val="16"/>
      <w:szCs w:val="16"/>
    </w:rPr>
  </w:style>
  <w:style w:type="character" w:customStyle="1" w:styleId="BalloonTextChar">
    <w:name w:val="Balloon Text Char"/>
    <w:basedOn w:val="DefaultParagraphFont"/>
    <w:link w:val="BalloonText"/>
    <w:uiPriority w:val="99"/>
    <w:semiHidden/>
    <w:rsid w:val="00D01583"/>
    <w:rPr>
      <w:rFonts w:ascii="Tahoma" w:hAnsi="Tahoma" w:cs="Tahoma"/>
      <w:sz w:val="16"/>
      <w:szCs w:val="16"/>
    </w:rPr>
  </w:style>
  <w:style w:type="table" w:styleId="TableGrid">
    <w:name w:val="Table Grid"/>
    <w:basedOn w:val="TableNormal"/>
    <w:uiPriority w:val="39"/>
    <w:unhideWhenUsed/>
    <w:rsid w:val="00396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22DB9"/>
    <w:rPr>
      <w:rFonts w:ascii="Times New Roman" w:hAnsi="Times New Roman" w:cs="Times New Roman" w:hint="default"/>
      <w:b w:val="0"/>
      <w:bCs w:val="0"/>
      <w:i w:val="0"/>
      <w:iCs w:val="0"/>
      <w:color w:val="000000"/>
      <w:sz w:val="28"/>
      <w:szCs w:val="28"/>
    </w:rPr>
  </w:style>
  <w:style w:type="paragraph" w:customStyle="1" w:styleId="f1">
    <w:name w:val="f1"/>
    <w:aliases w:val="Footnote Text111,BVI"/>
    <w:basedOn w:val="Normal"/>
    <w:rsid w:val="00AE03C5"/>
    <w:pPr>
      <w:spacing w:after="160" w:line="240" w:lineRule="exact"/>
      <w:jc w:val="left"/>
    </w:pPr>
    <w:rPr>
      <w:rFonts w:eastAsia="Times New Roman"/>
      <w:sz w:val="20"/>
      <w:szCs w:val="20"/>
      <w:vertAlign w:val="superscript"/>
    </w:rPr>
  </w:style>
  <w:style w:type="paragraph" w:customStyle="1" w:styleId="CharChar1CharCharCharChar">
    <w:name w:val="Char Char1 Char Char Char Char"/>
    <w:basedOn w:val="Normal"/>
    <w:next w:val="Normal"/>
    <w:autoRedefine/>
    <w:semiHidden/>
    <w:rsid w:val="00EF5622"/>
    <w:pPr>
      <w:spacing w:before="120" w:after="120" w:line="312" w:lineRule="auto"/>
      <w:jc w:val="left"/>
    </w:pPr>
    <w:rPr>
      <w:rFonts w:eastAsia="Times New Roman"/>
    </w:rPr>
  </w:style>
  <w:style w:type="paragraph" w:customStyle="1" w:styleId="msonormalcxspmiddle">
    <w:name w:val="msonormalcxspmiddle"/>
    <w:basedOn w:val="Normal"/>
    <w:rsid w:val="00EF5622"/>
    <w:pPr>
      <w:spacing w:before="100" w:beforeAutospacing="1" w:after="100" w:afterAutospacing="1"/>
      <w:jc w:val="left"/>
    </w:pPr>
    <w:rPr>
      <w:rFonts w:eastAsia="Times New Roman"/>
      <w:sz w:val="24"/>
      <w:szCs w:val="24"/>
    </w:rPr>
  </w:style>
  <w:style w:type="paragraph" w:customStyle="1" w:styleId="ts0">
    <w:name w:val="ts"/>
    <w:basedOn w:val="Normal"/>
    <w:link w:val="tsChar0"/>
    <w:qFormat/>
    <w:rsid w:val="00CA27D2"/>
    <w:pPr>
      <w:spacing w:before="120"/>
      <w:ind w:firstLine="720"/>
    </w:pPr>
  </w:style>
  <w:style w:type="character" w:customStyle="1" w:styleId="tsChar0">
    <w:name w:val="ts Char"/>
    <w:basedOn w:val="DefaultParagraphFont"/>
    <w:link w:val="ts0"/>
    <w:rsid w:val="00CA27D2"/>
    <w:rPr>
      <w:rFonts w:cs="Times New Roman"/>
    </w:rPr>
  </w:style>
  <w:style w:type="paragraph" w:styleId="BodyText">
    <w:name w:val="Body Text"/>
    <w:basedOn w:val="Normal"/>
    <w:link w:val="BodyTextChar"/>
    <w:uiPriority w:val="99"/>
    <w:semiHidden/>
    <w:unhideWhenUsed/>
    <w:rsid w:val="004E19B3"/>
    <w:pPr>
      <w:spacing w:after="120"/>
    </w:pPr>
  </w:style>
  <w:style w:type="character" w:customStyle="1" w:styleId="BodyTextChar">
    <w:name w:val="Body Text Char"/>
    <w:basedOn w:val="DefaultParagraphFont"/>
    <w:link w:val="BodyText"/>
    <w:uiPriority w:val="99"/>
    <w:semiHidden/>
    <w:rsid w:val="004E19B3"/>
    <w:rPr>
      <w:rFonts w:cs="Times New Roman"/>
    </w:rPr>
  </w:style>
  <w:style w:type="character" w:styleId="CommentReference">
    <w:name w:val="annotation reference"/>
    <w:basedOn w:val="DefaultParagraphFont"/>
    <w:uiPriority w:val="99"/>
    <w:semiHidden/>
    <w:unhideWhenUsed/>
    <w:rsid w:val="00431B38"/>
    <w:rPr>
      <w:sz w:val="16"/>
      <w:szCs w:val="16"/>
    </w:rPr>
  </w:style>
  <w:style w:type="paragraph" w:styleId="CommentText">
    <w:name w:val="annotation text"/>
    <w:basedOn w:val="Normal"/>
    <w:link w:val="CommentTextChar"/>
    <w:uiPriority w:val="99"/>
    <w:semiHidden/>
    <w:unhideWhenUsed/>
    <w:rsid w:val="00431B38"/>
    <w:rPr>
      <w:sz w:val="20"/>
      <w:szCs w:val="20"/>
    </w:rPr>
  </w:style>
  <w:style w:type="character" w:customStyle="1" w:styleId="CommentTextChar">
    <w:name w:val="Comment Text Char"/>
    <w:basedOn w:val="DefaultParagraphFont"/>
    <w:link w:val="CommentText"/>
    <w:uiPriority w:val="99"/>
    <w:semiHidden/>
    <w:rsid w:val="00431B38"/>
    <w:rPr>
      <w:rFonts w:cs="Times New Roman"/>
      <w:sz w:val="20"/>
      <w:szCs w:val="20"/>
    </w:rPr>
  </w:style>
  <w:style w:type="paragraph" w:styleId="CommentSubject">
    <w:name w:val="annotation subject"/>
    <w:basedOn w:val="CommentText"/>
    <w:next w:val="CommentText"/>
    <w:link w:val="CommentSubjectChar"/>
    <w:uiPriority w:val="99"/>
    <w:semiHidden/>
    <w:unhideWhenUsed/>
    <w:rsid w:val="00431B38"/>
    <w:rPr>
      <w:b/>
      <w:bCs/>
    </w:rPr>
  </w:style>
  <w:style w:type="character" w:customStyle="1" w:styleId="CommentSubjectChar">
    <w:name w:val="Comment Subject Char"/>
    <w:basedOn w:val="CommentTextChar"/>
    <w:link w:val="CommentSubject"/>
    <w:uiPriority w:val="99"/>
    <w:semiHidden/>
    <w:rsid w:val="00431B38"/>
    <w:rPr>
      <w:rFonts w:cs="Times New Roman"/>
      <w:b/>
      <w:bCs/>
      <w:sz w:val="20"/>
      <w:szCs w:val="20"/>
    </w:rPr>
  </w:style>
  <w:style w:type="character" w:styleId="Strong">
    <w:name w:val="Strong"/>
    <w:qFormat/>
    <w:rsid w:val="007562C5"/>
    <w:rPr>
      <w:b/>
      <w:bCs/>
    </w:rPr>
  </w:style>
  <w:style w:type="paragraph" w:styleId="ListParagraph">
    <w:name w:val="List Paragraph"/>
    <w:basedOn w:val="Normal"/>
    <w:uiPriority w:val="34"/>
    <w:qFormat/>
    <w:rsid w:val="0043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9921">
      <w:bodyDiv w:val="1"/>
      <w:marLeft w:val="0"/>
      <w:marRight w:val="0"/>
      <w:marTop w:val="0"/>
      <w:marBottom w:val="0"/>
      <w:divBdr>
        <w:top w:val="none" w:sz="0" w:space="0" w:color="auto"/>
        <w:left w:val="none" w:sz="0" w:space="0" w:color="auto"/>
        <w:bottom w:val="none" w:sz="0" w:space="0" w:color="auto"/>
        <w:right w:val="none" w:sz="0" w:space="0" w:color="auto"/>
      </w:divBdr>
    </w:div>
    <w:div w:id="585962090">
      <w:bodyDiv w:val="1"/>
      <w:marLeft w:val="0"/>
      <w:marRight w:val="0"/>
      <w:marTop w:val="0"/>
      <w:marBottom w:val="0"/>
      <w:divBdr>
        <w:top w:val="none" w:sz="0" w:space="0" w:color="auto"/>
        <w:left w:val="none" w:sz="0" w:space="0" w:color="auto"/>
        <w:bottom w:val="none" w:sz="0" w:space="0" w:color="auto"/>
        <w:right w:val="none" w:sz="0" w:space="0" w:color="auto"/>
      </w:divBdr>
    </w:div>
    <w:div w:id="686560355">
      <w:bodyDiv w:val="1"/>
      <w:marLeft w:val="0"/>
      <w:marRight w:val="0"/>
      <w:marTop w:val="0"/>
      <w:marBottom w:val="0"/>
      <w:divBdr>
        <w:top w:val="none" w:sz="0" w:space="0" w:color="auto"/>
        <w:left w:val="none" w:sz="0" w:space="0" w:color="auto"/>
        <w:bottom w:val="none" w:sz="0" w:space="0" w:color="auto"/>
        <w:right w:val="none" w:sz="0" w:space="0" w:color="auto"/>
      </w:divBdr>
    </w:div>
    <w:div w:id="752166307">
      <w:bodyDiv w:val="1"/>
      <w:marLeft w:val="0"/>
      <w:marRight w:val="0"/>
      <w:marTop w:val="0"/>
      <w:marBottom w:val="0"/>
      <w:divBdr>
        <w:top w:val="none" w:sz="0" w:space="0" w:color="auto"/>
        <w:left w:val="none" w:sz="0" w:space="0" w:color="auto"/>
        <w:bottom w:val="none" w:sz="0" w:space="0" w:color="auto"/>
        <w:right w:val="none" w:sz="0" w:space="0" w:color="auto"/>
      </w:divBdr>
    </w:div>
    <w:div w:id="817767330">
      <w:bodyDiv w:val="1"/>
      <w:marLeft w:val="0"/>
      <w:marRight w:val="0"/>
      <w:marTop w:val="0"/>
      <w:marBottom w:val="0"/>
      <w:divBdr>
        <w:top w:val="none" w:sz="0" w:space="0" w:color="auto"/>
        <w:left w:val="none" w:sz="0" w:space="0" w:color="auto"/>
        <w:bottom w:val="none" w:sz="0" w:space="0" w:color="auto"/>
        <w:right w:val="none" w:sz="0" w:space="0" w:color="auto"/>
      </w:divBdr>
    </w:div>
    <w:div w:id="957830943">
      <w:bodyDiv w:val="1"/>
      <w:marLeft w:val="0"/>
      <w:marRight w:val="0"/>
      <w:marTop w:val="0"/>
      <w:marBottom w:val="0"/>
      <w:divBdr>
        <w:top w:val="none" w:sz="0" w:space="0" w:color="auto"/>
        <w:left w:val="none" w:sz="0" w:space="0" w:color="auto"/>
        <w:bottom w:val="none" w:sz="0" w:space="0" w:color="auto"/>
        <w:right w:val="none" w:sz="0" w:space="0" w:color="auto"/>
      </w:divBdr>
    </w:div>
    <w:div w:id="1082532302">
      <w:bodyDiv w:val="1"/>
      <w:marLeft w:val="0"/>
      <w:marRight w:val="0"/>
      <w:marTop w:val="0"/>
      <w:marBottom w:val="0"/>
      <w:divBdr>
        <w:top w:val="none" w:sz="0" w:space="0" w:color="auto"/>
        <w:left w:val="none" w:sz="0" w:space="0" w:color="auto"/>
        <w:bottom w:val="none" w:sz="0" w:space="0" w:color="auto"/>
        <w:right w:val="none" w:sz="0" w:space="0" w:color="auto"/>
      </w:divBdr>
    </w:div>
    <w:div w:id="1123771900">
      <w:bodyDiv w:val="1"/>
      <w:marLeft w:val="0"/>
      <w:marRight w:val="0"/>
      <w:marTop w:val="0"/>
      <w:marBottom w:val="0"/>
      <w:divBdr>
        <w:top w:val="none" w:sz="0" w:space="0" w:color="auto"/>
        <w:left w:val="none" w:sz="0" w:space="0" w:color="auto"/>
        <w:bottom w:val="none" w:sz="0" w:space="0" w:color="auto"/>
        <w:right w:val="none" w:sz="0" w:space="0" w:color="auto"/>
      </w:divBdr>
    </w:div>
    <w:div w:id="1444497895">
      <w:bodyDiv w:val="1"/>
      <w:marLeft w:val="0"/>
      <w:marRight w:val="0"/>
      <w:marTop w:val="0"/>
      <w:marBottom w:val="0"/>
      <w:divBdr>
        <w:top w:val="none" w:sz="0" w:space="0" w:color="auto"/>
        <w:left w:val="none" w:sz="0" w:space="0" w:color="auto"/>
        <w:bottom w:val="none" w:sz="0" w:space="0" w:color="auto"/>
        <w:right w:val="none" w:sz="0" w:space="0" w:color="auto"/>
      </w:divBdr>
    </w:div>
    <w:div w:id="1672678694">
      <w:bodyDiv w:val="1"/>
      <w:marLeft w:val="0"/>
      <w:marRight w:val="0"/>
      <w:marTop w:val="0"/>
      <w:marBottom w:val="0"/>
      <w:divBdr>
        <w:top w:val="none" w:sz="0" w:space="0" w:color="auto"/>
        <w:left w:val="none" w:sz="0" w:space="0" w:color="auto"/>
        <w:bottom w:val="none" w:sz="0" w:space="0" w:color="auto"/>
        <w:right w:val="none" w:sz="0" w:space="0" w:color="auto"/>
      </w:divBdr>
    </w:div>
    <w:div w:id="1930192934">
      <w:bodyDiv w:val="1"/>
      <w:marLeft w:val="0"/>
      <w:marRight w:val="0"/>
      <w:marTop w:val="0"/>
      <w:marBottom w:val="0"/>
      <w:divBdr>
        <w:top w:val="none" w:sz="0" w:space="0" w:color="auto"/>
        <w:left w:val="none" w:sz="0" w:space="0" w:color="auto"/>
        <w:bottom w:val="none" w:sz="0" w:space="0" w:color="auto"/>
        <w:right w:val="none" w:sz="0" w:space="0" w:color="auto"/>
      </w:divBdr>
    </w:div>
    <w:div w:id="211046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30C5-B429-4EA4-A654-608A8410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dc:creator>
  <cp:lastModifiedBy>Admin</cp:lastModifiedBy>
  <cp:revision>12</cp:revision>
  <cp:lastPrinted>2022-09-19T09:10:00Z</cp:lastPrinted>
  <dcterms:created xsi:type="dcterms:W3CDTF">2022-09-22T09:17:00Z</dcterms:created>
  <dcterms:modified xsi:type="dcterms:W3CDTF">2022-11-29T07:30:00Z</dcterms:modified>
</cp:coreProperties>
</file>