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2B1E2E" w:rsidRPr="00DC31A4" w:rsidTr="00B561F8">
        <w:trPr>
          <w:trHeight w:hRule="exact" w:val="907"/>
        </w:trPr>
        <w:tc>
          <w:tcPr>
            <w:tcW w:w="1978" w:type="pct"/>
            <w:shd w:val="clear" w:color="auto" w:fill="auto"/>
          </w:tcPr>
          <w:p w:rsidR="002B1E2E" w:rsidRPr="00DC31A4" w:rsidRDefault="002B1E2E" w:rsidP="00B561F8">
            <w:pPr>
              <w:jc w:val="center"/>
              <w:rPr>
                <w:sz w:val="26"/>
                <w:szCs w:val="28"/>
              </w:rPr>
            </w:pPr>
            <w:r w:rsidRPr="00DC31A4">
              <w:rPr>
                <w:sz w:val="26"/>
                <w:szCs w:val="28"/>
              </w:rPr>
              <w:t>HĐND TỈNH KON TUM</w:t>
            </w:r>
          </w:p>
          <w:p w:rsidR="002B1E2E" w:rsidRPr="00DC31A4" w:rsidRDefault="003342EB" w:rsidP="00B561F8">
            <w:pPr>
              <w:jc w:val="center"/>
              <w:rPr>
                <w:b/>
                <w:sz w:val="26"/>
                <w:szCs w:val="28"/>
              </w:rPr>
            </w:pPr>
            <w:r>
              <w:rPr>
                <w:noProof/>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6BC4B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002B1E2E" w:rsidRPr="00DC31A4">
              <w:rPr>
                <w:b/>
                <w:sz w:val="26"/>
                <w:szCs w:val="28"/>
              </w:rPr>
              <w:t>BAN KINH TẾ - NGÂN SÁCH</w:t>
            </w:r>
          </w:p>
        </w:tc>
        <w:tc>
          <w:tcPr>
            <w:tcW w:w="3022" w:type="pct"/>
            <w:shd w:val="clear" w:color="auto" w:fill="auto"/>
          </w:tcPr>
          <w:p w:rsidR="002B1E2E" w:rsidRPr="00DC31A4" w:rsidRDefault="002B1E2E" w:rsidP="00B561F8">
            <w:pPr>
              <w:jc w:val="center"/>
              <w:rPr>
                <w:b/>
                <w:sz w:val="26"/>
                <w:szCs w:val="28"/>
              </w:rPr>
            </w:pPr>
            <w:r w:rsidRPr="00DC31A4">
              <w:rPr>
                <w:b/>
                <w:sz w:val="26"/>
                <w:szCs w:val="28"/>
              </w:rPr>
              <w:t>CỘNG HÒA XÃ HỘI CHỦ NGHĨA VIỆT NAM</w:t>
            </w:r>
          </w:p>
          <w:p w:rsidR="002B1E2E" w:rsidRPr="00DC31A4" w:rsidRDefault="003342EB" w:rsidP="00B561F8">
            <w:pPr>
              <w:jc w:val="center"/>
              <w:rPr>
                <w:b/>
                <w:sz w:val="26"/>
                <w:szCs w:val="28"/>
              </w:rPr>
            </w:pPr>
            <w:r>
              <w:rPr>
                <w:noProof/>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38BC6B0"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002B1E2E" w:rsidRPr="00DC31A4">
              <w:rPr>
                <w:b/>
                <w:szCs w:val="28"/>
              </w:rPr>
              <w:t>Độc lập - Tự do - Hạnh phúc</w:t>
            </w:r>
          </w:p>
        </w:tc>
      </w:tr>
      <w:tr w:rsidR="002B1E2E" w:rsidRPr="00DC31A4" w:rsidTr="00B561F8">
        <w:trPr>
          <w:trHeight w:hRule="exact" w:val="518"/>
        </w:trPr>
        <w:tc>
          <w:tcPr>
            <w:tcW w:w="1978" w:type="pct"/>
            <w:shd w:val="clear" w:color="auto" w:fill="auto"/>
          </w:tcPr>
          <w:p w:rsidR="002B1E2E" w:rsidRPr="00DC31A4" w:rsidRDefault="002B1E2E" w:rsidP="00B561F8">
            <w:pPr>
              <w:jc w:val="center"/>
              <w:rPr>
                <w:sz w:val="26"/>
                <w:szCs w:val="28"/>
              </w:rPr>
            </w:pPr>
            <w:r w:rsidRPr="00DC31A4">
              <w:rPr>
                <w:sz w:val="26"/>
                <w:szCs w:val="28"/>
              </w:rPr>
              <w:t xml:space="preserve">Số:  </w:t>
            </w:r>
            <w:r w:rsidR="009E4B63">
              <w:rPr>
                <w:sz w:val="26"/>
                <w:szCs w:val="28"/>
              </w:rPr>
              <w:t>130</w:t>
            </w:r>
            <w:r w:rsidRPr="00DC31A4">
              <w:rPr>
                <w:sz w:val="26"/>
                <w:szCs w:val="28"/>
              </w:rPr>
              <w:t xml:space="preserve"> /B</w:t>
            </w:r>
            <w:r>
              <w:rPr>
                <w:sz w:val="26"/>
                <w:szCs w:val="28"/>
              </w:rPr>
              <w:t>C</w:t>
            </w:r>
            <w:r w:rsidRPr="00DC31A4">
              <w:rPr>
                <w:sz w:val="26"/>
                <w:szCs w:val="28"/>
              </w:rPr>
              <w:t>-</w:t>
            </w:r>
            <w:r>
              <w:rPr>
                <w:sz w:val="26"/>
                <w:szCs w:val="28"/>
              </w:rPr>
              <w:t>BKTNS</w:t>
            </w:r>
          </w:p>
          <w:p w:rsidR="002B1E2E" w:rsidRPr="00DC31A4" w:rsidRDefault="002B1E2E" w:rsidP="00B561F8">
            <w:pPr>
              <w:ind w:firstLine="709"/>
              <w:jc w:val="both"/>
              <w:rPr>
                <w:szCs w:val="28"/>
              </w:rPr>
            </w:pPr>
          </w:p>
          <w:p w:rsidR="002B1E2E" w:rsidRPr="00DC31A4" w:rsidRDefault="002B1E2E" w:rsidP="00B561F8">
            <w:pPr>
              <w:ind w:firstLine="709"/>
              <w:jc w:val="both"/>
              <w:rPr>
                <w:szCs w:val="28"/>
              </w:rPr>
            </w:pPr>
          </w:p>
          <w:p w:rsidR="002B1E2E" w:rsidRPr="00DC31A4" w:rsidRDefault="002B1E2E" w:rsidP="00B561F8">
            <w:pPr>
              <w:ind w:firstLine="709"/>
              <w:jc w:val="both"/>
              <w:rPr>
                <w:szCs w:val="28"/>
              </w:rPr>
            </w:pPr>
          </w:p>
        </w:tc>
        <w:tc>
          <w:tcPr>
            <w:tcW w:w="3022" w:type="pct"/>
            <w:shd w:val="clear" w:color="auto" w:fill="auto"/>
          </w:tcPr>
          <w:p w:rsidR="002B1E2E" w:rsidRPr="00DC31A4" w:rsidRDefault="002B1E2E" w:rsidP="009E4B63">
            <w:pPr>
              <w:ind w:firstLine="709"/>
              <w:jc w:val="both"/>
              <w:rPr>
                <w:i/>
                <w:szCs w:val="28"/>
              </w:rPr>
            </w:pPr>
            <w:r w:rsidRPr="00DC31A4">
              <w:rPr>
                <w:i/>
                <w:szCs w:val="28"/>
              </w:rPr>
              <w:t xml:space="preserve">Kon Tum, ngày  </w:t>
            </w:r>
            <w:r w:rsidR="009E4B63">
              <w:rPr>
                <w:i/>
                <w:szCs w:val="28"/>
              </w:rPr>
              <w:t>02</w:t>
            </w:r>
            <w:r w:rsidRPr="00DC31A4">
              <w:rPr>
                <w:i/>
                <w:szCs w:val="28"/>
              </w:rPr>
              <w:t xml:space="preserve">   tháng  </w:t>
            </w:r>
            <w:r w:rsidR="009E4B63">
              <w:rPr>
                <w:i/>
                <w:szCs w:val="28"/>
              </w:rPr>
              <w:t>12</w:t>
            </w:r>
            <w:r w:rsidRPr="00DC31A4">
              <w:rPr>
                <w:i/>
                <w:szCs w:val="28"/>
              </w:rPr>
              <w:t xml:space="preserve"> năm</w:t>
            </w:r>
            <w:r w:rsidR="009E4B63">
              <w:rPr>
                <w:i/>
                <w:szCs w:val="28"/>
              </w:rPr>
              <w:t>2020</w:t>
            </w:r>
            <w:r w:rsidRPr="00DC31A4">
              <w:rPr>
                <w:i/>
                <w:szCs w:val="28"/>
              </w:rPr>
              <w:t xml:space="preserve">    </w:t>
            </w:r>
          </w:p>
        </w:tc>
      </w:tr>
    </w:tbl>
    <w:p w:rsidR="002B1E2E" w:rsidRPr="00767681" w:rsidRDefault="002B1E2E" w:rsidP="00FC2DDA">
      <w:pPr>
        <w:jc w:val="center"/>
        <w:rPr>
          <w:b/>
        </w:rPr>
      </w:pPr>
      <w:r w:rsidRPr="00767681">
        <w:rPr>
          <w:b/>
        </w:rPr>
        <w:t>BÁO CÁO THẨM TRA</w:t>
      </w:r>
    </w:p>
    <w:p w:rsidR="002B1E2E" w:rsidRDefault="002B1E2E" w:rsidP="002B1E2E">
      <w:pPr>
        <w:widowControl w:val="0"/>
        <w:jc w:val="center"/>
        <w:rPr>
          <w:b/>
          <w:szCs w:val="28"/>
          <w:lang w:val="nl-NL"/>
        </w:rPr>
      </w:pPr>
      <w:r w:rsidRPr="000531B6">
        <w:rPr>
          <w:b/>
        </w:rPr>
        <w:t xml:space="preserve">Dự thảo </w:t>
      </w:r>
      <w:r>
        <w:rPr>
          <w:b/>
          <w:lang w:val="vi-VN"/>
        </w:rPr>
        <w:t xml:space="preserve">Nghị quyết </w:t>
      </w:r>
      <w:r>
        <w:rPr>
          <w:b/>
        </w:rPr>
        <w:t xml:space="preserve">về việc </w:t>
      </w:r>
      <w:r>
        <w:rPr>
          <w:b/>
          <w:szCs w:val="28"/>
          <w:lang w:val="nl-NL"/>
        </w:rPr>
        <w:t xml:space="preserve">cho ý kiến về Đề </w:t>
      </w:r>
      <w:proofErr w:type="gramStart"/>
      <w:r>
        <w:rPr>
          <w:b/>
          <w:szCs w:val="28"/>
          <w:lang w:val="nl-NL"/>
        </w:rPr>
        <w:t>án</w:t>
      </w:r>
      <w:proofErr w:type="gramEnd"/>
      <w:r>
        <w:rPr>
          <w:b/>
          <w:szCs w:val="28"/>
          <w:lang w:val="nl-NL"/>
        </w:rPr>
        <w:t xml:space="preserve"> Khai thác quỹ đất để tạo </w:t>
      </w:r>
    </w:p>
    <w:p w:rsidR="002B1E2E" w:rsidRDefault="002B1E2E" w:rsidP="002B1E2E">
      <w:pPr>
        <w:widowControl w:val="0"/>
        <w:jc w:val="center"/>
        <w:rPr>
          <w:b/>
          <w:szCs w:val="28"/>
          <w:lang w:val="nl-NL"/>
        </w:rPr>
      </w:pPr>
      <w:r>
        <w:rPr>
          <w:b/>
          <w:szCs w:val="28"/>
          <w:lang w:val="nl-NL"/>
        </w:rPr>
        <w:t xml:space="preserve">vốn phát triển tài sản kết cấu hạ tầng giao thông dọc tuyến đường </w:t>
      </w:r>
    </w:p>
    <w:p w:rsidR="002B1E2E" w:rsidRPr="003713C3" w:rsidRDefault="002B1E2E" w:rsidP="002B1E2E">
      <w:pPr>
        <w:jc w:val="center"/>
        <w:rPr>
          <w:b/>
          <w:color w:val="000000"/>
          <w:szCs w:val="28"/>
          <w:lang w:val="nl-NL"/>
        </w:rPr>
      </w:pPr>
      <w:r>
        <w:rPr>
          <w:b/>
          <w:szCs w:val="28"/>
          <w:lang w:val="nl-NL"/>
        </w:rPr>
        <w:t>giao thông kết nối từ đường Hồ Chí Minh đi Quốc lộ 24</w:t>
      </w:r>
    </w:p>
    <w:p w:rsidR="002B1E2E" w:rsidRPr="003713C3" w:rsidRDefault="003342EB" w:rsidP="002B1E2E">
      <w:pPr>
        <w:widowControl w:val="0"/>
        <w:spacing w:line="264" w:lineRule="auto"/>
        <w:jc w:val="center"/>
        <w:rPr>
          <w:b/>
          <w:color w:val="000000"/>
          <w:szCs w:val="28"/>
          <w:lang w:val="nl-NL"/>
        </w:rPr>
      </w:pPr>
      <w:r>
        <w:rPr>
          <w:noProof/>
          <w:lang w:val="vi-VN" w:eastAsia="vi-VN"/>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114934</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FB7C43" id="Straight Connector 1"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9.05pt" to="102.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">
                <w10:wrap anchorx="margin"/>
              </v:line>
            </w:pict>
          </mc:Fallback>
        </mc:AlternateContent>
      </w:r>
    </w:p>
    <w:p w:rsidR="002B1E2E" w:rsidRPr="003713C3" w:rsidRDefault="002B1E2E" w:rsidP="00AF0440">
      <w:pPr>
        <w:widowControl w:val="0"/>
        <w:spacing w:before="120" w:after="120"/>
        <w:ind w:firstLine="720"/>
        <w:jc w:val="both"/>
        <w:rPr>
          <w:lang w:val="nl-NL"/>
        </w:rPr>
      </w:pPr>
      <w:r w:rsidRPr="003713C3">
        <w:rPr>
          <w:lang w:val="nl-NL"/>
        </w:rPr>
        <w:t xml:space="preserve">Căn cứ Luật Tổ chức Chính quyền địa phương năm 2015; </w:t>
      </w:r>
      <w:r w:rsidRPr="00ED33D6">
        <w:rPr>
          <w:rFonts w:eastAsia="Times New Roman"/>
          <w:szCs w:val="28"/>
          <w:lang w:val="nl-NL" w:eastAsia="x-none"/>
        </w:rPr>
        <w:t>Luật sửa đổi, bổ sung một số điều của Luật Tổ chức Chính phủ và Luật Tổ chức chính quyền địa phương năm 2019;</w:t>
      </w:r>
      <w:r w:rsidRPr="00ED33D6">
        <w:rPr>
          <w:rFonts w:eastAsia="Times New Roman"/>
          <w:i/>
          <w:szCs w:val="28"/>
          <w:lang w:val="nl-NL" w:eastAsia="x-none"/>
        </w:rPr>
        <w:t xml:space="preserve"> </w:t>
      </w:r>
      <w:r w:rsidRPr="003713C3">
        <w:rPr>
          <w:lang w:val="nl-NL"/>
        </w:rPr>
        <w:t>Luật Hoạt động giám sát của Quốc hội và Hội đồng nhân dân năm 2015.</w:t>
      </w:r>
    </w:p>
    <w:p w:rsidR="002B1E2E" w:rsidRPr="003713C3" w:rsidRDefault="002B1E2E" w:rsidP="00AF0440">
      <w:pPr>
        <w:widowControl w:val="0"/>
        <w:spacing w:before="120" w:after="120"/>
        <w:ind w:firstLine="720"/>
        <w:jc w:val="both"/>
        <w:rPr>
          <w:u w:val="single"/>
          <w:vertAlign w:val="subscript"/>
          <w:lang w:val="nl-NL"/>
        </w:rPr>
      </w:pPr>
      <w:r w:rsidRPr="003713C3">
        <w:rPr>
          <w:lang w:val="nl-NL"/>
        </w:rPr>
        <w:t xml:space="preserve">Thực hiện sự phân công của Thường trực Hội đồng nhân dân tỉnh, trên cơ sở Tờ trình số 142/TTr-UBND ngày 24 tháng 11 năm 2020 của Ủy ban nhân dân tỉnh về việc </w:t>
      </w:r>
      <w:r w:rsidRPr="00AF0440">
        <w:rPr>
          <w:szCs w:val="28"/>
          <w:lang w:val="nl-NL"/>
        </w:rPr>
        <w:t>đề nghị cho ý kiến về Đề án Khai thác quỹ đất để tạo vốn phát triển tài sản kết cấu hạ tầng giao thông dọc tuyến đường giao thông kết nối từ đường Hồ Chí Minh đi Quốc lộ 24</w:t>
      </w:r>
      <w:r w:rsidRPr="00AF0440">
        <w:rPr>
          <w:lang w:val="nl-NL"/>
        </w:rPr>
        <w:t>;</w:t>
      </w:r>
      <w:r w:rsidRPr="003713C3">
        <w:rPr>
          <w:lang w:val="nl-NL"/>
        </w:rPr>
        <w:t xml:space="preserve"> dự thảo Nghị quyết và hồ sơ trình thẩm tra kèm theo; Ban Kinh tế - Ngân sách đã tổ chức phiên họp toàn thể thẩm tra nội dung trên. Tham dự cuộc họp có lãnh </w:t>
      </w:r>
      <w:r w:rsidRPr="00AF0440">
        <w:rPr>
          <w:lang w:val="nl-NL"/>
        </w:rPr>
        <w:t>đạo</w:t>
      </w:r>
      <w:r w:rsidRPr="003713C3">
        <w:rPr>
          <w:lang w:val="nl-NL"/>
        </w:rPr>
        <w:t xml:space="preserve"> các Ban của Hội đồng nhân dân tỉnh, </w:t>
      </w:r>
      <w:r w:rsidRPr="003713C3">
        <w:rPr>
          <w:bCs/>
          <w:lang w:val="nl-NL"/>
        </w:rPr>
        <w:t xml:space="preserve">đại diện Ủy ban nhân dân tỉnh và các sở, ngành liên quan. </w:t>
      </w:r>
      <w:r w:rsidRPr="003713C3">
        <w:rPr>
          <w:lang w:val="nl-NL"/>
        </w:rPr>
        <w:t>Ban Kinh tế - Ngân sách báo cáo kết quả thẩm tra như sau:</w:t>
      </w:r>
    </w:p>
    <w:p w:rsidR="002B1E2E" w:rsidRPr="00F55469" w:rsidRDefault="003C2C03" w:rsidP="00AF0440">
      <w:pPr>
        <w:pStyle w:val="Befor-After"/>
        <w:ind w:firstLine="720"/>
        <w:rPr>
          <w:b/>
          <w:color w:val="auto"/>
        </w:rPr>
      </w:pPr>
      <w:r w:rsidRPr="003713C3">
        <w:rPr>
          <w:b/>
          <w:color w:val="auto"/>
          <w:lang w:val="nl-NL"/>
        </w:rPr>
        <w:t>I</w:t>
      </w:r>
      <w:r w:rsidR="002B1E2E" w:rsidRPr="003C2C03">
        <w:rPr>
          <w:b/>
          <w:color w:val="auto"/>
        </w:rPr>
        <w:t>.</w:t>
      </w:r>
      <w:r w:rsidR="002B1E2E" w:rsidRPr="00F55469">
        <w:rPr>
          <w:b/>
          <w:color w:val="auto"/>
        </w:rPr>
        <w:t xml:space="preserve"> Về cơ sở pháp lý</w:t>
      </w:r>
    </w:p>
    <w:p w:rsidR="002B1E2E" w:rsidRPr="00AF0440" w:rsidRDefault="002B1E2E" w:rsidP="00AF0440">
      <w:pPr>
        <w:shd w:val="solid" w:color="FFFFFF" w:fill="auto"/>
        <w:spacing w:before="120" w:after="120"/>
        <w:ind w:firstLine="720"/>
        <w:jc w:val="both"/>
        <w:rPr>
          <w:lang w:val="nb-NO"/>
        </w:rPr>
      </w:pPr>
      <w:r w:rsidRPr="00AF0440">
        <w:rPr>
          <w:lang w:val="nb-NO"/>
        </w:rPr>
        <w:t xml:space="preserve">Căn cứ khoản 1, khoản 2 Điều 118 Luật Quản lý, sử dụng tài sản công năm 2017 quy định: </w:t>
      </w:r>
      <w:r w:rsidRPr="00AF0440">
        <w:rPr>
          <w:i/>
          <w:lang w:val="nb-NO"/>
        </w:rPr>
        <w:t>“Khai thác quỹ đất để tạo vốn phát triển kết cấu hạ tầng là việc Nhà nước áp dụng cơ chế thu hồi đất vùng phụ cận của đất phục vụ dự án đầu tư xây dựng công trình kết cấu hạ tầng theo quy định của pháp luật về đất đai nhằm tạo quỹ đất để tạo vốn phát triển kết cấu hạ tầng”, “Việc khai thác quỹ đất để tạo vốn phát triển kết cấu hạ tầng phải được lập thành đề án”.</w:t>
      </w:r>
    </w:p>
    <w:p w:rsidR="001D7C49" w:rsidRPr="003713C3" w:rsidRDefault="002B1E2E" w:rsidP="00AF0440">
      <w:pPr>
        <w:spacing w:before="120" w:after="120"/>
        <w:ind w:firstLine="720"/>
        <w:jc w:val="both"/>
        <w:rPr>
          <w:noProof/>
          <w:szCs w:val="28"/>
          <w:lang w:val="nb-NO"/>
        </w:rPr>
      </w:pPr>
      <w:r w:rsidRPr="00AF0440">
        <w:rPr>
          <w:lang w:val="nb-NO"/>
        </w:rPr>
        <w:t xml:space="preserve">Căn cứ </w:t>
      </w:r>
      <w:r w:rsidR="001D7C49" w:rsidRPr="003713C3">
        <w:rPr>
          <w:noProof/>
          <w:szCs w:val="28"/>
          <w:lang w:val="nb-NO"/>
        </w:rPr>
        <w:t>điểm b khoản 4 Điều 16 Nghị định số 33/2019/NĐ-CP của Chính phủ quy định việc quản lý, sử dụng và khai thác tài sản kết cấu hạ tầng giao thông đường bộ: “</w:t>
      </w:r>
      <w:r w:rsidR="001D7C49" w:rsidRPr="003713C3">
        <w:rPr>
          <w:i/>
          <w:noProof/>
          <w:szCs w:val="28"/>
          <w:lang w:val="nb-NO"/>
        </w:rPr>
        <w:t>Ủy ban nhân dân cấp tỉnh phê duyệt đối với Đề án khai thác quỹ đất để tạo vốn phát triển tài sản kết cấu hạ tầng giao thông đường bộ thuộc phạm vi quản lý sau khi có ý kiến của Hội đồng nhân dân cùng cấp</w:t>
      </w:r>
      <w:r w:rsidR="001D7C49" w:rsidRPr="003713C3">
        <w:rPr>
          <w:noProof/>
          <w:szCs w:val="28"/>
          <w:lang w:val="nb-NO"/>
        </w:rPr>
        <w:t xml:space="preserve">”. </w:t>
      </w:r>
    </w:p>
    <w:p w:rsidR="001D7C49" w:rsidRPr="003713C3" w:rsidRDefault="001D7C49" w:rsidP="00AF0440">
      <w:pPr>
        <w:spacing w:before="120" w:after="120"/>
        <w:ind w:firstLine="720"/>
        <w:jc w:val="both"/>
        <w:rPr>
          <w:noProof/>
          <w:szCs w:val="28"/>
          <w:lang w:val="nb-NO"/>
        </w:rPr>
      </w:pPr>
      <w:r w:rsidRPr="003713C3">
        <w:rPr>
          <w:noProof/>
          <w:szCs w:val="28"/>
          <w:lang w:val="nb-NO"/>
        </w:rPr>
        <w:t xml:space="preserve">Căn cứ các quy định nêu trên và chủ trương của Thường trực Tỉnh ủy </w:t>
      </w:r>
      <w:r w:rsidRPr="003713C3">
        <w:rPr>
          <w:spacing w:val="-4"/>
          <w:lang w:val="nb-NO"/>
        </w:rPr>
        <w:t>tại Văn bản số 5284-CV/VPTU</w:t>
      </w:r>
      <w:r w:rsidRPr="003713C3">
        <w:rPr>
          <w:lang w:val="nb-NO"/>
        </w:rPr>
        <w:t xml:space="preserve"> ngày 03 tháng 01 năm 2020 về việc xây dựng phương án ngăn chặn việc xây dựng không phép, trái phép dọc hai bên các tuyến tỉnh lộ, quốc lộ trên địa bàn tỉnh;</w:t>
      </w:r>
      <w:r w:rsidRPr="003713C3">
        <w:rPr>
          <w:noProof/>
          <w:szCs w:val="28"/>
          <w:lang w:val="nb-NO"/>
        </w:rPr>
        <w:t xml:space="preserve"> Ủy ban nhân dân tỉnh xây dựng </w:t>
      </w:r>
      <w:r w:rsidRPr="00AF0440">
        <w:rPr>
          <w:szCs w:val="28"/>
          <w:lang w:val="nl-NL"/>
        </w:rPr>
        <w:t>Đề án Khai thác quỹ đất để tạo vốn phát triển tài sản kết cấu hạ tầng giao thông dọc tuyến đường giao thông kết nối từ đường Hồ Chí Minh đi Quốc lộ 24,</w:t>
      </w:r>
      <w:r w:rsidRPr="003713C3">
        <w:rPr>
          <w:noProof/>
          <w:szCs w:val="28"/>
          <w:lang w:val="nb-NO"/>
        </w:rPr>
        <w:t xml:space="preserve"> trình Hội đồng nhân dân tỉnh xem xét, cho ý kiến là phù hợp với quy định.</w:t>
      </w:r>
    </w:p>
    <w:p w:rsidR="001D7C49" w:rsidRPr="003713C3" w:rsidRDefault="001D7C49" w:rsidP="00AF0440">
      <w:pPr>
        <w:pStyle w:val="Befor-After"/>
        <w:ind w:firstLine="720"/>
        <w:rPr>
          <w:b/>
          <w:color w:val="auto"/>
          <w:lang w:val="nb-NO"/>
        </w:rPr>
      </w:pPr>
      <w:r w:rsidRPr="003713C3">
        <w:rPr>
          <w:b/>
          <w:color w:val="auto"/>
          <w:lang w:val="nb-NO"/>
        </w:rPr>
        <w:t>II</w:t>
      </w:r>
      <w:r w:rsidRPr="00A54DF8">
        <w:rPr>
          <w:b/>
          <w:color w:val="auto"/>
        </w:rPr>
        <w:t xml:space="preserve">. </w:t>
      </w:r>
      <w:r w:rsidRPr="003713C3">
        <w:rPr>
          <w:b/>
          <w:color w:val="auto"/>
          <w:lang w:val="nb-NO"/>
        </w:rPr>
        <w:t>Nội dung chính của Đề án</w:t>
      </w:r>
    </w:p>
    <w:p w:rsidR="00CD4B40" w:rsidRPr="003713C3" w:rsidRDefault="00CD4B40" w:rsidP="00AF0440">
      <w:pPr>
        <w:spacing w:before="120" w:after="120"/>
        <w:ind w:firstLine="720"/>
        <w:jc w:val="both"/>
        <w:outlineLvl w:val="2"/>
        <w:rPr>
          <w:szCs w:val="28"/>
          <w:lang w:val="nb-NO"/>
        </w:rPr>
      </w:pPr>
      <w:r w:rsidRPr="003713C3">
        <w:rPr>
          <w:szCs w:val="28"/>
          <w:lang w:val="nb-NO"/>
        </w:rPr>
        <w:lastRenderedPageBreak/>
        <w:t>1. Tên Đề án: Đề án Khai thác quỹ đất để tạo vốn phát triển tài sản kết cấu hạ tầng giao thông dọc tuyến Đường giao thông kết nối từ đường Hồ Chí Minh đi Quốc lộ 24.</w:t>
      </w:r>
    </w:p>
    <w:p w:rsidR="00CD4B40" w:rsidRPr="003713C3" w:rsidRDefault="00CD4B40" w:rsidP="00AF0440">
      <w:pPr>
        <w:spacing w:before="120" w:after="120"/>
        <w:ind w:firstLine="720"/>
        <w:jc w:val="both"/>
        <w:outlineLvl w:val="2"/>
        <w:rPr>
          <w:szCs w:val="28"/>
          <w:lang w:val="nb-NO"/>
        </w:rPr>
      </w:pPr>
      <w:r w:rsidRPr="003713C3">
        <w:rPr>
          <w:szCs w:val="28"/>
          <w:lang w:val="nb-NO"/>
        </w:rPr>
        <w:t>2. Đơn vị lập Đề án: Trung tâm Phát triển quỹ đất tỉnh.</w:t>
      </w:r>
    </w:p>
    <w:p w:rsidR="00CD4B40" w:rsidRPr="003713C3" w:rsidRDefault="00CD4B40" w:rsidP="00AF0440">
      <w:pPr>
        <w:spacing w:before="120" w:after="120"/>
        <w:ind w:firstLine="720"/>
        <w:jc w:val="both"/>
        <w:outlineLvl w:val="2"/>
        <w:rPr>
          <w:szCs w:val="28"/>
          <w:lang w:val="nb-NO"/>
        </w:rPr>
      </w:pPr>
      <w:r w:rsidRPr="003713C3">
        <w:rPr>
          <w:szCs w:val="28"/>
          <w:lang w:val="nb-NO"/>
        </w:rPr>
        <w:t>3. Mục tiêu Đề án: Đề án Khai thác quỹ đất để tạo vốn phát triển tài sản kết cấu hạ tầng giao thông dọc tuyến Đường giao thông kết nối từ đường Hồ Chí Minh đi Quốc lộ 24 được lập trên cơ sở các quy hoạch đã được phê duyệt, điều chỉnh, bổ sung nhằm phát huy tối đa tiềm năng, lợi thế sẵn có dọc tuyến Đường giao thông kết nối từ đường Hồ Chí Minh đi Quốc lộ 24, tạo nguồn vốn xây dựng kết cấu hạ tầng, góp phần nâng cấp phát triển đô thị và tạo nguồn thu cho ngân sách.</w:t>
      </w:r>
    </w:p>
    <w:p w:rsidR="00CD4B40" w:rsidRPr="003713C3" w:rsidRDefault="00CD4B40" w:rsidP="00AF0440">
      <w:pPr>
        <w:spacing w:before="120" w:after="120"/>
        <w:ind w:firstLine="720"/>
        <w:jc w:val="both"/>
        <w:outlineLvl w:val="2"/>
        <w:rPr>
          <w:szCs w:val="28"/>
          <w:lang w:val="nb-NO"/>
        </w:rPr>
      </w:pPr>
      <w:r w:rsidRPr="003713C3">
        <w:rPr>
          <w:szCs w:val="28"/>
          <w:lang w:val="nb-NO"/>
        </w:rPr>
        <w:t>4. Vị trí đất lập Đề án: Theo Đồ án quy hoạch phân khu tỷ lệ 1/2.000, được thực hiện dọc theo tuyến đường giao thông kết nối có chiều dài 3,2 km (</w:t>
      </w:r>
      <w:r w:rsidRPr="003713C3">
        <w:rPr>
          <w:i/>
          <w:szCs w:val="28"/>
          <w:lang w:val="nb-NO"/>
        </w:rPr>
        <w:t xml:space="preserve">Đoạn từ đường Hồ Chí Minh km0+00 đến Km3+200 phía nam sông Đăk Bla) </w:t>
      </w:r>
      <w:r w:rsidRPr="003713C3">
        <w:rPr>
          <w:szCs w:val="28"/>
          <w:lang w:val="nb-NO"/>
        </w:rPr>
        <w:t xml:space="preserve">với tổng diện tích quy hoạch cho toàn tuyến là 90ha, trong đó: </w:t>
      </w:r>
    </w:p>
    <w:p w:rsidR="00CD4B40" w:rsidRPr="003713C3" w:rsidRDefault="00CD4B40" w:rsidP="00AF0440">
      <w:pPr>
        <w:spacing w:before="120" w:after="120"/>
        <w:ind w:firstLine="720"/>
        <w:jc w:val="both"/>
        <w:rPr>
          <w:szCs w:val="28"/>
          <w:lang w:val="nb-NO"/>
        </w:rPr>
      </w:pPr>
      <w:r w:rsidRPr="003713C3">
        <w:rPr>
          <w:szCs w:val="28"/>
          <w:lang w:val="nb-NO"/>
        </w:rPr>
        <w:t xml:space="preserve">- Ban quản lý các dự án 98 thực hiện từ nút giao 49 </w:t>
      </w:r>
      <w:r w:rsidRPr="003713C3">
        <w:rPr>
          <w:i/>
          <w:szCs w:val="28"/>
          <w:lang w:val="nb-NO"/>
        </w:rPr>
        <w:t>(gần Ủy ban nhân dân xã Chư HReng)</w:t>
      </w:r>
      <w:r w:rsidRPr="003713C3">
        <w:rPr>
          <w:szCs w:val="28"/>
          <w:lang w:val="nb-NO"/>
        </w:rPr>
        <w:t xml:space="preserve"> về phía Bắc giáp sông Đăk Bla thuộc Quy hoạch chi tiết Khu nam Trung tâm hành chính mới được Ủy ban nhân dân tỉnh giao Ban quản lý các dự án 98 khai thác tại Quyết định số 784/QĐ-UBND ngày 29 tháng 7 năm 2019 về việc triển khai chủ trương đầu tư Dự án đầu tư kết cấu hạ tầng khu vực phía Nam sông Đăk Bla thuộc đồ án quy hoạch chi tiết trung tâm hành chính mới, dịch vụ thương mại và dân cư tỉnh Kon Tum với tổng diện tích khai thác theo quy hoạch chiếm 33,7 ha.</w:t>
      </w:r>
    </w:p>
    <w:p w:rsidR="00CD4B40" w:rsidRPr="003713C3" w:rsidRDefault="00CD4B40" w:rsidP="00AF0440">
      <w:pPr>
        <w:spacing w:before="120" w:after="120"/>
        <w:ind w:firstLine="720"/>
        <w:jc w:val="both"/>
        <w:rPr>
          <w:szCs w:val="28"/>
          <w:lang w:val="nb-NO"/>
        </w:rPr>
      </w:pPr>
      <w:r w:rsidRPr="003713C3">
        <w:rPr>
          <w:szCs w:val="28"/>
          <w:lang w:val="nb-NO"/>
        </w:rPr>
        <w:t>- Đất đồi núi, khe suối, hợp thủy, diện tích tuyến đường kết nối… không thuận tiện cho việc khai thác hoặc khai thác kém hiệu quả chiếm 11,44ha.</w:t>
      </w:r>
    </w:p>
    <w:p w:rsidR="00CD4B40" w:rsidRPr="003713C3" w:rsidRDefault="00CD4B40" w:rsidP="00AF0440">
      <w:pPr>
        <w:spacing w:before="120" w:after="120"/>
        <w:ind w:firstLine="720"/>
        <w:jc w:val="both"/>
        <w:rPr>
          <w:szCs w:val="28"/>
          <w:lang w:val="nb-NO"/>
        </w:rPr>
      </w:pPr>
      <w:r w:rsidRPr="003713C3">
        <w:rPr>
          <w:szCs w:val="28"/>
          <w:lang w:val="nb-NO"/>
        </w:rPr>
        <w:t>- Phần diện tích đất hiện dân đang sinh sống tập trung dọc theo các tuyến đường hiện trạng của phường Trần Hưng Đạo (</w:t>
      </w:r>
      <w:r w:rsidRPr="003713C3">
        <w:rPr>
          <w:i/>
          <w:szCs w:val="28"/>
          <w:lang w:val="nb-NO"/>
        </w:rPr>
        <w:t>phần điện tích đất này chủ yếu chỉnh trang đô thị theo quy hoạch cho phù hợp, không đầu tư khai thác</w:t>
      </w:r>
      <w:r w:rsidRPr="003713C3">
        <w:rPr>
          <w:szCs w:val="28"/>
          <w:lang w:val="nb-NO"/>
        </w:rPr>
        <w:t xml:space="preserve">), diện tích chiếm khoảng 10,7ha.   </w:t>
      </w:r>
    </w:p>
    <w:p w:rsidR="00CD4B40" w:rsidRPr="003713C3" w:rsidRDefault="00CD4B40" w:rsidP="00AF0440">
      <w:pPr>
        <w:spacing w:before="120" w:after="120"/>
        <w:ind w:firstLine="720"/>
        <w:jc w:val="both"/>
        <w:rPr>
          <w:szCs w:val="28"/>
          <w:lang w:val="nb-NO"/>
        </w:rPr>
      </w:pPr>
      <w:r w:rsidRPr="003713C3">
        <w:rPr>
          <w:szCs w:val="28"/>
          <w:lang w:val="nb-NO"/>
        </w:rPr>
        <w:t xml:space="preserve">- Phần còn lại, Trung tâm phát triển quỹ đất tỉnh thực hiện khai thác với diện tích khoảng 37,17 ha </w:t>
      </w:r>
      <w:r w:rsidRPr="003713C3">
        <w:rPr>
          <w:i/>
          <w:szCs w:val="28"/>
          <w:lang w:val="nb-NO"/>
        </w:rPr>
        <w:t xml:space="preserve">(từ Km0+00 phường Trần Hưng Đạo đến nút giao 49 với đường tỉnh lộ 671 gần UBND xã Chư Hreng), </w:t>
      </w:r>
      <w:r w:rsidRPr="003713C3">
        <w:rPr>
          <w:szCs w:val="28"/>
          <w:lang w:val="nb-NO"/>
        </w:rPr>
        <w:t>có vị trí tiếp giáp như sau:</w:t>
      </w:r>
    </w:p>
    <w:p w:rsidR="00CD4B40" w:rsidRPr="003713C3" w:rsidRDefault="00CD4B40" w:rsidP="00AF0440">
      <w:pPr>
        <w:spacing w:before="120" w:after="120"/>
        <w:ind w:firstLine="720"/>
        <w:jc w:val="both"/>
        <w:rPr>
          <w:szCs w:val="28"/>
          <w:lang w:val="nb-NO"/>
        </w:rPr>
      </w:pPr>
      <w:r w:rsidRPr="003713C3">
        <w:rPr>
          <w:szCs w:val="28"/>
          <w:lang w:val="nb-NO"/>
        </w:rPr>
        <w:t>+ Phía Bắc giáp với nút giao lộ đường Tỉnh lộ 671 gần Ủy ban nhân dân xã Chư Hreng.</w:t>
      </w:r>
    </w:p>
    <w:p w:rsidR="00CD4B40" w:rsidRPr="003713C3" w:rsidRDefault="00CD4B40" w:rsidP="00AF0440">
      <w:pPr>
        <w:spacing w:before="120" w:after="120"/>
        <w:ind w:firstLine="720"/>
        <w:jc w:val="both"/>
        <w:rPr>
          <w:szCs w:val="28"/>
          <w:lang w:val="nb-NO"/>
        </w:rPr>
      </w:pPr>
      <w:r w:rsidRPr="003713C3">
        <w:rPr>
          <w:szCs w:val="28"/>
          <w:lang w:val="nb-NO"/>
        </w:rPr>
        <w:t>+ Phía Nam Giáp với với khu dân cư phường Trần Hưng Đạo.</w:t>
      </w:r>
    </w:p>
    <w:p w:rsidR="00CD4B40" w:rsidRPr="003713C3" w:rsidRDefault="00CD4B40" w:rsidP="00AF0440">
      <w:pPr>
        <w:spacing w:before="120" w:after="120"/>
        <w:ind w:firstLine="720"/>
        <w:jc w:val="both"/>
        <w:rPr>
          <w:szCs w:val="28"/>
          <w:lang w:val="nb-NO"/>
        </w:rPr>
      </w:pPr>
      <w:r w:rsidRPr="003713C3">
        <w:rPr>
          <w:szCs w:val="28"/>
          <w:lang w:val="nb-NO"/>
        </w:rPr>
        <w:t>+ Phía Đông giáp với khu dân cư và đất sản xuất nông nghiệp xã Chư Hreng, phường Trần Hưng Đạo.</w:t>
      </w:r>
    </w:p>
    <w:p w:rsidR="00CD4B40" w:rsidRPr="003713C3" w:rsidRDefault="00CD4B40" w:rsidP="00AF0440">
      <w:pPr>
        <w:spacing w:before="120" w:after="120"/>
        <w:ind w:firstLine="720"/>
        <w:jc w:val="both"/>
        <w:rPr>
          <w:szCs w:val="28"/>
          <w:lang w:val="nb-NO"/>
        </w:rPr>
      </w:pPr>
      <w:r w:rsidRPr="003713C3">
        <w:rPr>
          <w:szCs w:val="28"/>
          <w:lang w:val="nb-NO"/>
        </w:rPr>
        <w:t>+ Phía Tây giáp với khu dân cư và đất sản xuất nông nghiệp xã Chư Hreng, phường Trần Hưng Đạo.</w:t>
      </w:r>
    </w:p>
    <w:p w:rsidR="00CD4B40" w:rsidRPr="00AF0440" w:rsidRDefault="00CD4B40" w:rsidP="00AF0440">
      <w:pPr>
        <w:pStyle w:val="Heading3"/>
        <w:spacing w:before="120" w:after="120"/>
        <w:ind w:firstLine="720"/>
        <w:jc w:val="both"/>
        <w:rPr>
          <w:rFonts w:ascii="Times New Roman" w:hAnsi="Times New Roman"/>
          <w:b w:val="0"/>
          <w:sz w:val="28"/>
          <w:szCs w:val="28"/>
        </w:rPr>
      </w:pPr>
      <w:r w:rsidRPr="003713C3">
        <w:rPr>
          <w:rFonts w:ascii="Times New Roman" w:hAnsi="Times New Roman"/>
          <w:b w:val="0"/>
          <w:sz w:val="28"/>
          <w:szCs w:val="28"/>
          <w:lang w:val="nb-NO"/>
        </w:rPr>
        <w:lastRenderedPageBreak/>
        <w:t xml:space="preserve">5. </w:t>
      </w:r>
      <w:r w:rsidRPr="00AF0440">
        <w:rPr>
          <w:rFonts w:ascii="Times New Roman" w:hAnsi="Times New Roman"/>
          <w:b w:val="0"/>
          <w:sz w:val="28"/>
          <w:szCs w:val="28"/>
        </w:rPr>
        <w:t>Diện tích đất dự kiến khai thác theo quy hoạch: Tổng diện tích đất dự kiến khai thác khoảng 37,17 ha trên địa bàn phường Trần Hưng Đạo và xã Chư Hreng; dự kiến 03 vị trí:</w:t>
      </w:r>
    </w:p>
    <w:p w:rsidR="00CD4B40" w:rsidRPr="00AF0440" w:rsidRDefault="00CD4B40" w:rsidP="00AF0440">
      <w:pPr>
        <w:spacing w:before="120" w:after="120"/>
        <w:ind w:firstLine="720"/>
        <w:jc w:val="both"/>
        <w:rPr>
          <w:szCs w:val="28"/>
        </w:rPr>
      </w:pPr>
      <w:r w:rsidRPr="00AF0440">
        <w:rPr>
          <w:szCs w:val="28"/>
        </w:rPr>
        <w:t>- Vị trí 1: Tại trung tâm phường Trần Hưng Đạo với diện tích khai thác khoảng 21,21ha.</w:t>
      </w:r>
    </w:p>
    <w:p w:rsidR="00CD4B40" w:rsidRPr="00AF0440" w:rsidRDefault="00CD4B40" w:rsidP="00AF0440">
      <w:pPr>
        <w:spacing w:before="120" w:after="120"/>
        <w:ind w:firstLine="720"/>
        <w:jc w:val="both"/>
        <w:rPr>
          <w:szCs w:val="28"/>
        </w:rPr>
      </w:pPr>
      <w:r w:rsidRPr="00AF0440">
        <w:rPr>
          <w:szCs w:val="28"/>
        </w:rPr>
        <w:t>- Vị trí 2: Thuộc xã Chư Hreng, diện tích khai thác khoảng 8,59ha.</w:t>
      </w:r>
    </w:p>
    <w:p w:rsidR="00CD4B40" w:rsidRPr="00AF0440" w:rsidRDefault="00CD4B40" w:rsidP="00AF0440">
      <w:pPr>
        <w:spacing w:before="120" w:after="120"/>
        <w:ind w:firstLine="720"/>
        <w:jc w:val="both"/>
        <w:rPr>
          <w:szCs w:val="28"/>
        </w:rPr>
      </w:pPr>
      <w:r w:rsidRPr="00AF0440">
        <w:rPr>
          <w:szCs w:val="28"/>
        </w:rPr>
        <w:t>- Vị trí 3: Thuộc trung tâm xã Chư Hreng, diện tích khai thác khoảng 7,37ha.</w:t>
      </w:r>
    </w:p>
    <w:p w:rsidR="00CD4B40" w:rsidRPr="00AF0440" w:rsidRDefault="00CD4B40" w:rsidP="00AF0440">
      <w:pPr>
        <w:pStyle w:val="Heading3"/>
        <w:spacing w:before="120" w:after="120"/>
        <w:ind w:firstLine="720"/>
        <w:jc w:val="left"/>
        <w:rPr>
          <w:rFonts w:ascii="Times New Roman" w:hAnsi="Times New Roman"/>
          <w:b w:val="0"/>
          <w:sz w:val="28"/>
          <w:szCs w:val="28"/>
          <w:lang w:val="en-US" w:eastAsia="en-US"/>
        </w:rPr>
      </w:pPr>
      <w:r w:rsidRPr="00AF0440">
        <w:rPr>
          <w:rFonts w:ascii="Times New Roman" w:hAnsi="Times New Roman"/>
          <w:b w:val="0"/>
          <w:bCs/>
          <w:sz w:val="28"/>
          <w:szCs w:val="28"/>
        </w:rPr>
        <w:t xml:space="preserve">6. </w:t>
      </w:r>
      <w:bookmarkStart w:id="0" w:name="_Toc48310718"/>
      <w:r w:rsidRPr="00AF0440">
        <w:rPr>
          <w:rFonts w:ascii="Times New Roman" w:hAnsi="Times New Roman"/>
          <w:b w:val="0"/>
          <w:sz w:val="28"/>
          <w:szCs w:val="28"/>
        </w:rPr>
        <w:t>Hình thức sử dụng đất:</w:t>
      </w:r>
      <w:bookmarkEnd w:id="0"/>
    </w:p>
    <w:p w:rsidR="00CD4B40" w:rsidRPr="00AF0440" w:rsidRDefault="00CD4B40" w:rsidP="00AF0440">
      <w:pPr>
        <w:spacing w:before="120" w:after="120"/>
        <w:ind w:firstLine="720"/>
        <w:jc w:val="both"/>
        <w:rPr>
          <w:szCs w:val="28"/>
        </w:rPr>
      </w:pPr>
      <w:r w:rsidRPr="00AF0440">
        <w:rPr>
          <w:bCs/>
          <w:szCs w:val="28"/>
        </w:rPr>
        <w:t>-</w:t>
      </w:r>
      <w:r w:rsidRPr="00AF0440">
        <w:rPr>
          <w:szCs w:val="28"/>
        </w:rPr>
        <w:t xml:space="preserve"> Đối với đất ở, thực hiện giao đất cho hộ gia đình, cá nhân, tổ chức kinh doanh bất động sản, thông qua hình thức đấu giá quyền sử dụng đất </w:t>
      </w:r>
      <w:proofErr w:type="gramStart"/>
      <w:r w:rsidRPr="00AF0440">
        <w:rPr>
          <w:szCs w:val="28"/>
        </w:rPr>
        <w:t>theo</w:t>
      </w:r>
      <w:proofErr w:type="gramEnd"/>
      <w:r w:rsidRPr="00AF0440">
        <w:rPr>
          <w:szCs w:val="28"/>
        </w:rPr>
        <w:t xml:space="preserve"> quy định của Luật đất đai và Luật đấu giá tải sản.</w:t>
      </w:r>
    </w:p>
    <w:p w:rsidR="00CD4B40" w:rsidRPr="00AF0440" w:rsidRDefault="00CD4B40" w:rsidP="00AF0440">
      <w:pPr>
        <w:spacing w:before="120" w:after="120"/>
        <w:ind w:firstLine="720"/>
        <w:jc w:val="both"/>
        <w:rPr>
          <w:szCs w:val="28"/>
        </w:rPr>
      </w:pPr>
      <w:r w:rsidRPr="00AF0440">
        <w:rPr>
          <w:bCs/>
          <w:szCs w:val="28"/>
        </w:rPr>
        <w:t>-</w:t>
      </w:r>
      <w:r w:rsidRPr="00AF0440">
        <w:rPr>
          <w:szCs w:val="28"/>
        </w:rPr>
        <w:t xml:space="preserve"> Đối với đất thương mại dịch vụ, chợ khu vực xã: Thực hiện cho thuê đất có thời hạn cho tổ chức, hộ gia đình, cá nhân thông qua hình thức đấu giá quyền sử dụng đất </w:t>
      </w:r>
      <w:proofErr w:type="gramStart"/>
      <w:r w:rsidRPr="00AF0440">
        <w:rPr>
          <w:szCs w:val="28"/>
        </w:rPr>
        <w:t>theo</w:t>
      </w:r>
      <w:proofErr w:type="gramEnd"/>
      <w:r w:rsidRPr="00AF0440">
        <w:rPr>
          <w:szCs w:val="28"/>
        </w:rPr>
        <w:t xml:space="preserve"> quy định của Luật đất đai và Luật đấu giá tải sản.</w:t>
      </w:r>
    </w:p>
    <w:p w:rsidR="00CD4B40" w:rsidRPr="00AF0440" w:rsidRDefault="00CD4B40" w:rsidP="00AF0440">
      <w:pPr>
        <w:spacing w:before="120" w:after="120"/>
        <w:ind w:firstLine="720"/>
        <w:jc w:val="both"/>
        <w:rPr>
          <w:bCs/>
          <w:szCs w:val="28"/>
        </w:rPr>
      </w:pPr>
      <w:r w:rsidRPr="00AF0440">
        <w:rPr>
          <w:bCs/>
          <w:szCs w:val="28"/>
        </w:rPr>
        <w:t>-</w:t>
      </w:r>
      <w:r w:rsidRPr="00AF0440">
        <w:rPr>
          <w:szCs w:val="28"/>
        </w:rPr>
        <w:t xml:space="preserve"> Đối với các loại đ</w:t>
      </w:r>
      <w:r w:rsidRPr="00AF0440">
        <w:rPr>
          <w:bCs/>
          <w:szCs w:val="28"/>
        </w:rPr>
        <w:t xml:space="preserve">ất công trình thể dục thể thao, đất công trình văn hóa, đất công viên - cây xanh: thực hiện mời gọi nhà đầu tư tham gia xã hội hóa sử dụng đất, việc giao đất, cho thuê đất thực hiện </w:t>
      </w:r>
      <w:proofErr w:type="gramStart"/>
      <w:r w:rsidRPr="00AF0440">
        <w:rPr>
          <w:bCs/>
          <w:szCs w:val="28"/>
        </w:rPr>
        <w:t>theo</w:t>
      </w:r>
      <w:proofErr w:type="gramEnd"/>
      <w:r w:rsidRPr="00AF0440">
        <w:rPr>
          <w:bCs/>
          <w:szCs w:val="28"/>
        </w:rPr>
        <w:t xml:space="preserve"> quy định của</w:t>
      </w:r>
      <w:r w:rsidRPr="00AF0440">
        <w:rPr>
          <w:szCs w:val="28"/>
        </w:rPr>
        <w:t xml:space="preserve"> Luật đất đai hoặc Luật đấu giá tải sản</w:t>
      </w:r>
      <w:r w:rsidRPr="00AF0440">
        <w:rPr>
          <w:bCs/>
          <w:szCs w:val="28"/>
        </w:rPr>
        <w:t>.</w:t>
      </w:r>
    </w:p>
    <w:p w:rsidR="00CD4B40" w:rsidRPr="00AF0440" w:rsidRDefault="00CD4B40" w:rsidP="00AF0440">
      <w:pPr>
        <w:spacing w:before="120" w:after="120"/>
        <w:ind w:firstLine="720"/>
        <w:jc w:val="both"/>
        <w:rPr>
          <w:szCs w:val="28"/>
        </w:rPr>
      </w:pPr>
      <w:r w:rsidRPr="00AF0440">
        <w:rPr>
          <w:szCs w:val="28"/>
        </w:rPr>
        <w:t>-</w:t>
      </w:r>
      <w:r w:rsidRPr="00AF0440">
        <w:rPr>
          <w:bCs/>
          <w:szCs w:val="28"/>
        </w:rPr>
        <w:t xml:space="preserve"> </w:t>
      </w:r>
      <w:r w:rsidRPr="00AF0440">
        <w:rPr>
          <w:szCs w:val="28"/>
        </w:rPr>
        <w:t>Đối với các loại đất giáo dục, đất công trình y tế, công trình công cộng dịch vụ khu ở, đất hạ tầng giao thông bãi đỗ xe: thực hiện</w:t>
      </w:r>
      <w:r w:rsidRPr="00AF0440">
        <w:rPr>
          <w:bCs/>
          <w:szCs w:val="28"/>
        </w:rPr>
        <w:t xml:space="preserve"> việc giao đất, cho thuê đất</w:t>
      </w:r>
      <w:r w:rsidRPr="00AF0440">
        <w:rPr>
          <w:szCs w:val="28"/>
        </w:rPr>
        <w:t xml:space="preserve"> theo Luật đất đai trên cơ sở tổ chức được giao đất, cho thuê đất phải nộp tiền đầu tư hạ tầng giải phóng mặt bằng (tính theo m2/suất đầu tư hạ tầng) cho ngân sách.</w:t>
      </w:r>
    </w:p>
    <w:p w:rsidR="00CD4B40" w:rsidRPr="00AF0440" w:rsidRDefault="00CD4B40" w:rsidP="00AF0440">
      <w:pPr>
        <w:spacing w:before="120" w:after="120"/>
        <w:ind w:firstLine="720"/>
        <w:jc w:val="both"/>
        <w:rPr>
          <w:bCs/>
          <w:szCs w:val="28"/>
        </w:rPr>
      </w:pPr>
      <w:r w:rsidRPr="00AF0440">
        <w:rPr>
          <w:bCs/>
          <w:szCs w:val="28"/>
        </w:rPr>
        <w:t>7.</w:t>
      </w:r>
      <w:r w:rsidRPr="00AF0440">
        <w:rPr>
          <w:szCs w:val="28"/>
        </w:rPr>
        <w:t xml:space="preserve"> </w:t>
      </w:r>
      <w:r w:rsidRPr="00AF0440">
        <w:rPr>
          <w:bCs/>
          <w:szCs w:val="28"/>
        </w:rPr>
        <w:t xml:space="preserve">Tổng mức đầu tư xây dựng kết cấu hạ tầng từ ngân sách nhà nước khoảng </w:t>
      </w:r>
      <w:r w:rsidRPr="00AF0440">
        <w:rPr>
          <w:bCs/>
          <w:iCs/>
          <w:szCs w:val="28"/>
        </w:rPr>
        <w:t>166.942,8 triệu đồng</w:t>
      </w:r>
      <w:r w:rsidRPr="00AF0440">
        <w:rPr>
          <w:bCs/>
          <w:szCs w:val="28"/>
        </w:rPr>
        <w:t>.</w:t>
      </w:r>
    </w:p>
    <w:p w:rsidR="00CD4B40" w:rsidRPr="00AF0440" w:rsidRDefault="00CD4B40" w:rsidP="00AF0440">
      <w:pPr>
        <w:widowControl w:val="0"/>
        <w:spacing w:before="120" w:after="120"/>
        <w:ind w:firstLine="720"/>
        <w:jc w:val="both"/>
        <w:rPr>
          <w:szCs w:val="28"/>
        </w:rPr>
      </w:pPr>
      <w:r w:rsidRPr="00AF0440">
        <w:rPr>
          <w:bCs/>
          <w:szCs w:val="28"/>
        </w:rPr>
        <w:t xml:space="preserve">8. </w:t>
      </w:r>
      <w:r w:rsidRPr="00AF0440">
        <w:rPr>
          <w:bCs/>
          <w:szCs w:val="28"/>
          <w:lang w:val="vi-VN"/>
        </w:rPr>
        <w:t xml:space="preserve">Dự kiến chi phí bồi thường, giải phóng mặt bằng để khai thác quỹ đất </w:t>
      </w:r>
      <w:proofErr w:type="gramStart"/>
      <w:r w:rsidRPr="00AF0440">
        <w:rPr>
          <w:bCs/>
          <w:szCs w:val="28"/>
          <w:lang w:val="vi-VN"/>
        </w:rPr>
        <w:t>theo</w:t>
      </w:r>
      <w:proofErr w:type="gramEnd"/>
      <w:r w:rsidRPr="00AF0440">
        <w:rPr>
          <w:bCs/>
          <w:szCs w:val="28"/>
          <w:lang w:val="vi-VN"/>
        </w:rPr>
        <w:t xml:space="preserve"> quy định của pháp luật về bồi thường, hỗ trợ và tái định cư khi Nhà nước thu hồi đất</w:t>
      </w:r>
      <w:r w:rsidRPr="00AF0440">
        <w:rPr>
          <w:bCs/>
          <w:szCs w:val="28"/>
        </w:rPr>
        <w:t>:</w:t>
      </w:r>
      <w:r w:rsidRPr="00AF0440">
        <w:rPr>
          <w:szCs w:val="28"/>
        </w:rPr>
        <w:t xml:space="preserve"> Khoảng 66.884 triệu đồng</w:t>
      </w:r>
    </w:p>
    <w:p w:rsidR="00CD4B40" w:rsidRPr="00AF0440" w:rsidRDefault="00CD4B40" w:rsidP="00AF0440">
      <w:pPr>
        <w:widowControl w:val="0"/>
        <w:spacing w:before="120" w:after="120"/>
        <w:ind w:firstLine="720"/>
        <w:jc w:val="both"/>
        <w:rPr>
          <w:szCs w:val="28"/>
        </w:rPr>
      </w:pPr>
      <w:r w:rsidRPr="00AF0440">
        <w:rPr>
          <w:bCs/>
          <w:szCs w:val="28"/>
        </w:rPr>
        <w:t>9.</w:t>
      </w:r>
      <w:r w:rsidRPr="00AF0440">
        <w:rPr>
          <w:bCs/>
          <w:szCs w:val="28"/>
          <w:lang w:val="vi-VN"/>
        </w:rPr>
        <w:t xml:space="preserve"> Dự kiến số tiền </w:t>
      </w:r>
      <w:proofErr w:type="gramStart"/>
      <w:r w:rsidRPr="00AF0440">
        <w:rPr>
          <w:bCs/>
          <w:szCs w:val="28"/>
          <w:lang w:val="vi-VN"/>
        </w:rPr>
        <w:t>thu</w:t>
      </w:r>
      <w:proofErr w:type="gramEnd"/>
      <w:r w:rsidRPr="00AF0440">
        <w:rPr>
          <w:bCs/>
          <w:szCs w:val="28"/>
          <w:lang w:val="vi-VN"/>
        </w:rPr>
        <w:t xml:space="preserve"> được từ việc khai thác quỹ đất theo quy định của pháp luật đất đai</w:t>
      </w:r>
      <w:r w:rsidRPr="00AF0440">
        <w:rPr>
          <w:bCs/>
          <w:szCs w:val="28"/>
        </w:rPr>
        <w:t>:</w:t>
      </w:r>
      <w:r w:rsidRPr="00AF0440">
        <w:rPr>
          <w:szCs w:val="28"/>
        </w:rPr>
        <w:t xml:space="preserve"> Khoảng 375.788 triệu đồng.</w:t>
      </w:r>
    </w:p>
    <w:p w:rsidR="00CD4B40" w:rsidRPr="00AF0440" w:rsidRDefault="00CD4B40" w:rsidP="00AF0440">
      <w:pPr>
        <w:pStyle w:val="NormalWeb"/>
        <w:shd w:val="clear" w:color="auto" w:fill="FFFFFF"/>
        <w:spacing w:before="120" w:beforeAutospacing="0" w:after="120" w:afterAutospacing="0"/>
        <w:ind w:firstLine="720"/>
        <w:jc w:val="both"/>
        <w:outlineLvl w:val="1"/>
        <w:rPr>
          <w:bCs/>
          <w:sz w:val="28"/>
          <w:szCs w:val="28"/>
          <w:lang w:val="nb-NO"/>
        </w:rPr>
      </w:pPr>
      <w:bookmarkStart w:id="1" w:name="_Toc48310741"/>
      <w:r w:rsidRPr="00AF0440">
        <w:rPr>
          <w:bCs/>
          <w:sz w:val="28"/>
          <w:szCs w:val="28"/>
          <w:lang w:val="nb-NO"/>
        </w:rPr>
        <w:t>10. Phương án quản lý, sử dụng số tiền thu được từ khai thác quỹ đất:</w:t>
      </w:r>
      <w:bookmarkEnd w:id="1"/>
      <w:r w:rsidRPr="00AF0440">
        <w:rPr>
          <w:bCs/>
          <w:sz w:val="28"/>
          <w:szCs w:val="28"/>
          <w:lang w:val="nb-NO"/>
        </w:rPr>
        <w:t xml:space="preserve"> Số tiền thu được từ khai thác quỹ đất, sau khi trừ đi các chi phí có liên quan, phần còn lại được nộp toàn bộ vào ngân sách nhà nước và được bố trí trong kế hoạch đầu tư công và dự toán chi ngân sách nhà nước để thực hiện dự án đầu tư được cấp có thẩm quyền phê duyệt theo quy định của pháp luật về đầu tư công, pháp luật về ngân sách nhà nước và pháp luật có liên quan (</w:t>
      </w:r>
      <w:r w:rsidRPr="00AF0440">
        <w:rPr>
          <w:bCs/>
          <w:i/>
          <w:sz w:val="28"/>
          <w:szCs w:val="28"/>
          <w:lang w:val="nb-NO"/>
        </w:rPr>
        <w:t>quy định tại khoản 4, Điều 118 Luật Quản lý sử dụng tài sản công năm 2017</w:t>
      </w:r>
      <w:r w:rsidRPr="00AF0440">
        <w:rPr>
          <w:bCs/>
          <w:sz w:val="28"/>
          <w:szCs w:val="28"/>
          <w:lang w:val="nb-NO"/>
        </w:rPr>
        <w:t>).</w:t>
      </w:r>
    </w:p>
    <w:p w:rsidR="00CD4B40" w:rsidRPr="003713C3" w:rsidRDefault="00CD4B40" w:rsidP="00AF0440">
      <w:pPr>
        <w:widowControl w:val="0"/>
        <w:spacing w:before="120" w:after="120"/>
        <w:ind w:firstLine="720"/>
        <w:jc w:val="both"/>
        <w:rPr>
          <w:szCs w:val="28"/>
          <w:lang w:val="nb-NO"/>
        </w:rPr>
      </w:pPr>
      <w:r w:rsidRPr="003713C3">
        <w:rPr>
          <w:bCs/>
          <w:szCs w:val="28"/>
          <w:lang w:val="nb-NO"/>
        </w:rPr>
        <w:t xml:space="preserve">11. Thời gian thực hiện Đề án: </w:t>
      </w:r>
      <w:r w:rsidRPr="003713C3">
        <w:rPr>
          <w:szCs w:val="28"/>
          <w:lang w:val="nb-NO"/>
        </w:rPr>
        <w:t>Từ năm 2020.</w:t>
      </w:r>
    </w:p>
    <w:p w:rsidR="00B23848" w:rsidRPr="00F55469" w:rsidRDefault="00B23848" w:rsidP="00AF0440">
      <w:pPr>
        <w:pStyle w:val="Befor-After"/>
        <w:ind w:firstLine="720"/>
        <w:rPr>
          <w:b/>
          <w:color w:val="auto"/>
        </w:rPr>
      </w:pPr>
      <w:r w:rsidRPr="003713C3">
        <w:rPr>
          <w:b/>
          <w:color w:val="auto"/>
          <w:lang w:val="nb-NO"/>
        </w:rPr>
        <w:t>III</w:t>
      </w:r>
      <w:r w:rsidRPr="00F55469">
        <w:rPr>
          <w:b/>
          <w:color w:val="auto"/>
        </w:rPr>
        <w:t>. Ý kiến của Ban Kinh tế - Ngân sách</w:t>
      </w:r>
    </w:p>
    <w:p w:rsidR="0020787B" w:rsidRPr="003713C3" w:rsidRDefault="00B23848" w:rsidP="0020787B">
      <w:pPr>
        <w:widowControl w:val="0"/>
        <w:autoSpaceDE w:val="0"/>
        <w:autoSpaceDN w:val="0"/>
        <w:adjustRightInd w:val="0"/>
        <w:spacing w:before="120" w:after="120"/>
        <w:ind w:firstLine="720"/>
        <w:jc w:val="both"/>
        <w:rPr>
          <w:lang w:val="vi-VN"/>
        </w:rPr>
      </w:pPr>
      <w:r w:rsidRPr="00AF0440">
        <w:rPr>
          <w:lang w:val="de-DE"/>
        </w:rPr>
        <w:lastRenderedPageBreak/>
        <w:t>Qua nghiên cứu hồ sơ, t</w:t>
      </w:r>
      <w:r w:rsidR="002B1E2E" w:rsidRPr="00AF0440">
        <w:rPr>
          <w:lang w:val="de-DE"/>
        </w:rPr>
        <w:t xml:space="preserve">rên cơ sở </w:t>
      </w:r>
      <w:r w:rsidRPr="00AF0440">
        <w:rPr>
          <w:lang w:val="de-DE"/>
        </w:rPr>
        <w:t xml:space="preserve">các quy định của pháp luật có liên quan và </w:t>
      </w:r>
      <w:r w:rsidR="002B1E2E" w:rsidRPr="003713C3">
        <w:rPr>
          <w:lang w:val="vi-VN"/>
        </w:rPr>
        <w:t xml:space="preserve">ý kiến thảo luận </w:t>
      </w:r>
      <w:r w:rsidR="002B1E2E" w:rsidRPr="00AF0440">
        <w:rPr>
          <w:lang w:val="de-DE"/>
        </w:rPr>
        <w:t>của các đại biểu tại phiên họp thẩm tra,</w:t>
      </w:r>
      <w:r w:rsidR="002B1E2E" w:rsidRPr="003713C3">
        <w:rPr>
          <w:lang w:val="vi-VN"/>
        </w:rPr>
        <w:t xml:space="preserve"> </w:t>
      </w:r>
      <w:r w:rsidR="002B1E2E" w:rsidRPr="00AF0440">
        <w:rPr>
          <w:szCs w:val="28"/>
          <w:lang w:val="vi-VN"/>
        </w:rPr>
        <w:t>B</w:t>
      </w:r>
      <w:r w:rsidR="002B1E2E" w:rsidRPr="00AF0440">
        <w:rPr>
          <w:spacing w:val="-2"/>
          <w:szCs w:val="28"/>
          <w:lang w:val="vi-VN"/>
        </w:rPr>
        <w:t>a</w:t>
      </w:r>
      <w:r w:rsidR="002B1E2E" w:rsidRPr="00AF0440">
        <w:rPr>
          <w:szCs w:val="28"/>
          <w:lang w:val="vi-VN"/>
        </w:rPr>
        <w:t>n</w:t>
      </w:r>
      <w:r w:rsidR="002B1E2E" w:rsidRPr="00AF0440">
        <w:rPr>
          <w:spacing w:val="2"/>
          <w:szCs w:val="28"/>
          <w:lang w:val="vi-VN"/>
        </w:rPr>
        <w:t xml:space="preserve"> </w:t>
      </w:r>
      <w:r w:rsidR="002B1E2E" w:rsidRPr="00AF0440">
        <w:rPr>
          <w:spacing w:val="-1"/>
          <w:szCs w:val="28"/>
          <w:lang w:val="vi-VN"/>
        </w:rPr>
        <w:t>K</w:t>
      </w:r>
      <w:r w:rsidR="002B1E2E" w:rsidRPr="00AF0440">
        <w:rPr>
          <w:spacing w:val="1"/>
          <w:szCs w:val="28"/>
          <w:lang w:val="vi-VN"/>
        </w:rPr>
        <w:t>i</w:t>
      </w:r>
      <w:r w:rsidR="002B1E2E" w:rsidRPr="00AF0440">
        <w:rPr>
          <w:spacing w:val="-1"/>
          <w:szCs w:val="28"/>
          <w:lang w:val="vi-VN"/>
        </w:rPr>
        <w:t>n</w:t>
      </w:r>
      <w:r w:rsidR="002B1E2E" w:rsidRPr="00AF0440">
        <w:rPr>
          <w:szCs w:val="28"/>
          <w:lang w:val="vi-VN"/>
        </w:rPr>
        <w:t>h</w:t>
      </w:r>
      <w:r w:rsidR="002B1E2E" w:rsidRPr="00AF0440">
        <w:rPr>
          <w:spacing w:val="4"/>
          <w:szCs w:val="28"/>
          <w:lang w:val="vi-VN"/>
        </w:rPr>
        <w:t xml:space="preserve"> </w:t>
      </w:r>
      <w:r w:rsidR="002B1E2E" w:rsidRPr="00AF0440">
        <w:rPr>
          <w:spacing w:val="3"/>
          <w:szCs w:val="28"/>
          <w:lang w:val="vi-VN"/>
        </w:rPr>
        <w:t>t</w:t>
      </w:r>
      <w:r w:rsidR="002B1E2E" w:rsidRPr="00AF0440">
        <w:rPr>
          <w:szCs w:val="28"/>
          <w:lang w:val="vi-VN"/>
        </w:rPr>
        <w:t>ế</w:t>
      </w:r>
      <w:r w:rsidR="002B1E2E" w:rsidRPr="00AF0440">
        <w:rPr>
          <w:spacing w:val="4"/>
          <w:szCs w:val="28"/>
          <w:lang w:val="vi-VN"/>
        </w:rPr>
        <w:t xml:space="preserve"> </w:t>
      </w:r>
      <w:r w:rsidR="002B1E2E" w:rsidRPr="00AF0440">
        <w:rPr>
          <w:szCs w:val="28"/>
          <w:lang w:val="vi-VN"/>
        </w:rPr>
        <w:t>-</w:t>
      </w:r>
      <w:r w:rsidR="002B1E2E" w:rsidRPr="00AF0440">
        <w:rPr>
          <w:spacing w:val="3"/>
          <w:szCs w:val="28"/>
          <w:lang w:val="vi-VN"/>
        </w:rPr>
        <w:t xml:space="preserve"> </w:t>
      </w:r>
      <w:r w:rsidR="002B1E2E" w:rsidRPr="00AF0440">
        <w:rPr>
          <w:spacing w:val="-1"/>
          <w:szCs w:val="28"/>
          <w:lang w:val="vi-VN"/>
        </w:rPr>
        <w:t>N</w:t>
      </w:r>
      <w:r w:rsidR="002B1E2E" w:rsidRPr="00AF0440">
        <w:rPr>
          <w:spacing w:val="1"/>
          <w:szCs w:val="28"/>
          <w:lang w:val="vi-VN"/>
        </w:rPr>
        <w:t>g</w:t>
      </w:r>
      <w:r w:rsidR="002B1E2E" w:rsidRPr="00AF0440">
        <w:rPr>
          <w:spacing w:val="-2"/>
          <w:szCs w:val="28"/>
          <w:lang w:val="vi-VN"/>
        </w:rPr>
        <w:t>â</w:t>
      </w:r>
      <w:r w:rsidR="002B1E2E" w:rsidRPr="00AF0440">
        <w:rPr>
          <w:szCs w:val="28"/>
          <w:lang w:val="vi-VN"/>
        </w:rPr>
        <w:t>n</w:t>
      </w:r>
      <w:r w:rsidR="002B1E2E" w:rsidRPr="00AF0440">
        <w:rPr>
          <w:spacing w:val="2"/>
          <w:szCs w:val="28"/>
          <w:lang w:val="vi-VN"/>
        </w:rPr>
        <w:t xml:space="preserve"> </w:t>
      </w:r>
      <w:r w:rsidR="002B1E2E" w:rsidRPr="00AF0440">
        <w:rPr>
          <w:spacing w:val="1"/>
          <w:szCs w:val="28"/>
          <w:lang w:val="vi-VN"/>
        </w:rPr>
        <w:t>s</w:t>
      </w:r>
      <w:r w:rsidR="002B1E2E" w:rsidRPr="00AF0440">
        <w:rPr>
          <w:szCs w:val="28"/>
          <w:lang w:val="vi-VN"/>
        </w:rPr>
        <w:t>á</w:t>
      </w:r>
      <w:r w:rsidR="002B1E2E" w:rsidRPr="00AF0440">
        <w:rPr>
          <w:spacing w:val="-2"/>
          <w:szCs w:val="28"/>
          <w:lang w:val="vi-VN"/>
        </w:rPr>
        <w:t>c</w:t>
      </w:r>
      <w:r w:rsidR="002B1E2E" w:rsidRPr="00AF0440">
        <w:rPr>
          <w:szCs w:val="28"/>
          <w:lang w:val="vi-VN"/>
        </w:rPr>
        <w:t>h</w:t>
      </w:r>
      <w:r w:rsidR="002B1E2E" w:rsidRPr="00AF0440">
        <w:rPr>
          <w:spacing w:val="2"/>
          <w:szCs w:val="28"/>
          <w:lang w:val="vi-VN"/>
        </w:rPr>
        <w:t xml:space="preserve"> </w:t>
      </w:r>
      <w:r w:rsidR="00CD4B40" w:rsidRPr="00AF0440">
        <w:rPr>
          <w:lang w:val="nl-NL"/>
        </w:rPr>
        <w:t xml:space="preserve">nhận thấy việc </w:t>
      </w:r>
      <w:r w:rsidRPr="00AF0440">
        <w:rPr>
          <w:lang w:val="nl-NL"/>
        </w:rPr>
        <w:t xml:space="preserve">lập </w:t>
      </w:r>
      <w:r w:rsidR="00A54DF8" w:rsidRPr="00AF0440">
        <w:rPr>
          <w:szCs w:val="28"/>
          <w:lang w:val="nl-NL"/>
        </w:rPr>
        <w:t xml:space="preserve">Đề án Khai thác quỹ đất để tạo vốn phát triển tài sản kết cấu hạ tầng giao thông dọc tuyến đường giao thông kết nối từ đường Hồ Chí Minh đi Quốc lộ 24 </w:t>
      </w:r>
      <w:r w:rsidR="0020787B">
        <w:rPr>
          <w:szCs w:val="28"/>
          <w:lang w:val="nl-NL"/>
        </w:rPr>
        <w:t xml:space="preserve">được xây dựng trên cơ sở các quy định của pháp luật hiện hành và chủ trương của Thường trực Tỉnh ủy; </w:t>
      </w:r>
      <w:r w:rsidR="00CD4B40" w:rsidRPr="003713C3">
        <w:rPr>
          <w:lang w:val="vi-VN"/>
        </w:rPr>
        <w:t>phù hợp</w:t>
      </w:r>
      <w:r w:rsidR="00CD4B40" w:rsidRPr="00AF0440">
        <w:rPr>
          <w:lang w:val="nl-NL"/>
        </w:rPr>
        <w:t xml:space="preserve"> với </w:t>
      </w:r>
      <w:r w:rsidR="00CD4B40" w:rsidRPr="00AF0440">
        <w:rPr>
          <w:lang w:val="nb-NO"/>
        </w:rPr>
        <w:t>quy hoạch, kế hoạch phát triển kinh tế - xã hội đã được cấp có thẩm quyền phê duyệt</w:t>
      </w:r>
      <w:r w:rsidR="0020787B" w:rsidRPr="003713C3">
        <w:rPr>
          <w:lang w:val="vi-VN"/>
        </w:rPr>
        <w:t xml:space="preserve">, nhằm thực hiện có hiệu quả công tác quản lý Nhà nước về quy hoạch, đất đai, xây dựng; tạo động lực phát triển kinh tế xã hội và khai thác quỹ đất một cách hiệu quả, mở rộng không gian đô thị thành phố Kon Tum theo quy hoạch, thúc đẩy thu hút đầu tư. </w:t>
      </w:r>
    </w:p>
    <w:p w:rsidR="0020787B" w:rsidRPr="003713C3" w:rsidRDefault="0020787B" w:rsidP="00AF0440">
      <w:pPr>
        <w:widowControl w:val="0"/>
        <w:autoSpaceDE w:val="0"/>
        <w:autoSpaceDN w:val="0"/>
        <w:adjustRightInd w:val="0"/>
        <w:spacing w:before="120" w:after="120"/>
        <w:ind w:firstLine="720"/>
        <w:jc w:val="both"/>
        <w:rPr>
          <w:lang w:val="vi-VN"/>
        </w:rPr>
      </w:pPr>
      <w:r w:rsidRPr="003713C3">
        <w:rPr>
          <w:lang w:val="vi-VN"/>
        </w:rPr>
        <w:t>Đề nghị Ủy ban nhân dân tỉnh chỉ đạo thực hiện đúng theo các quy định của Luật Đất đai, Luật Quản lý</w:t>
      </w:r>
      <w:r w:rsidR="00FC2DDA" w:rsidRPr="00DF19B0">
        <w:rPr>
          <w:lang w:val="vi-VN"/>
        </w:rPr>
        <w:t>, sử dụng</w:t>
      </w:r>
      <w:r w:rsidRPr="003713C3">
        <w:rPr>
          <w:lang w:val="vi-VN"/>
        </w:rPr>
        <w:t xml:space="preserve"> tài sản công</w:t>
      </w:r>
      <w:r w:rsidR="00AD595B" w:rsidRPr="00AD595B">
        <w:rPr>
          <w:lang w:val="vi-VN"/>
        </w:rPr>
        <w:t>,</w:t>
      </w:r>
      <w:r w:rsidRPr="003713C3">
        <w:rPr>
          <w:lang w:val="vi-VN"/>
        </w:rPr>
        <w:t xml:space="preserve"> Nghị định số 33/2019/NĐ-CP ngày 23/4/2019 của Chính phủ quy định việc quản lý, sử dụng và khai thác tài sản kết cấu hạ tầng giao thông đường bộ</w:t>
      </w:r>
      <w:r w:rsidR="00AD595B" w:rsidRPr="00AD595B">
        <w:rPr>
          <w:lang w:val="vi-VN"/>
        </w:rPr>
        <w:t xml:space="preserve"> </w:t>
      </w:r>
      <w:r w:rsidR="00AD595B" w:rsidRPr="003713C3">
        <w:rPr>
          <w:lang w:val="vi-VN"/>
        </w:rPr>
        <w:t xml:space="preserve">và </w:t>
      </w:r>
      <w:r w:rsidR="00AD595B" w:rsidRPr="00AD595B">
        <w:rPr>
          <w:lang w:val="vi-VN"/>
        </w:rPr>
        <w:t>các qui định của pháp luật hiện hành</w:t>
      </w:r>
      <w:r w:rsidRPr="003713C3">
        <w:rPr>
          <w:lang w:val="vi-VN"/>
        </w:rPr>
        <w:t xml:space="preserve">. </w:t>
      </w:r>
      <w:r w:rsidRPr="00FC2DDA">
        <w:rPr>
          <w:lang w:val="vi-VN"/>
        </w:rPr>
        <w:t xml:space="preserve">Trong đó, đặc biệt quan tâm đến việc </w:t>
      </w:r>
      <w:r w:rsidR="00BB796B" w:rsidRPr="00FC2DDA">
        <w:rPr>
          <w:szCs w:val="28"/>
          <w:shd w:val="clear" w:color="auto" w:fill="FFFFFF"/>
          <w:lang w:val="vi-VN"/>
        </w:rPr>
        <w:t xml:space="preserve">áp dụng cơ chế thu hồi </w:t>
      </w:r>
      <w:r w:rsidR="00AD595B" w:rsidRPr="00FC2DDA">
        <w:rPr>
          <w:szCs w:val="28"/>
          <w:shd w:val="clear" w:color="auto" w:fill="FFFFFF"/>
          <w:lang w:val="vi-VN"/>
        </w:rPr>
        <w:t>vùng phụ cận ngoài diện tích đất phục vụ dự án đầu tư xây dựng công trình kết cấu hạ tầng đường bộ</w:t>
      </w:r>
      <w:r w:rsidR="00FC2DDA" w:rsidRPr="00DF19B0">
        <w:rPr>
          <w:szCs w:val="28"/>
          <w:shd w:val="clear" w:color="auto" w:fill="FFFFFF"/>
          <w:lang w:val="vi-VN"/>
        </w:rPr>
        <w:t xml:space="preserve"> theo đúng quy định tại khoản 2 Điều 16 Nghị định số 33/2019/NĐ-CP</w:t>
      </w:r>
      <w:r w:rsidRPr="00FC2DDA">
        <w:rPr>
          <w:lang w:val="vi-VN"/>
        </w:rPr>
        <w:t>;</w:t>
      </w:r>
      <w:r w:rsidRPr="003713C3">
        <w:rPr>
          <w:lang w:val="vi-VN"/>
        </w:rPr>
        <w:t xml:space="preserve"> nghiên cứu xây dựng phương án, giải pháp triển khai thực hiện đồng bộ, hiệu quả </w:t>
      </w:r>
      <w:r w:rsidR="0038316C" w:rsidRPr="003713C3">
        <w:rPr>
          <w:lang w:val="vi-VN"/>
        </w:rPr>
        <w:t>đúng quy định pháp luật về hỗ trợ, bồi thường, tái định cư tạo sự đồng thuận trong nhân dân.</w:t>
      </w:r>
    </w:p>
    <w:p w:rsidR="003342EB" w:rsidRPr="00DF19B0" w:rsidRDefault="00A54DF8" w:rsidP="00DF19B0">
      <w:pPr>
        <w:widowControl w:val="0"/>
        <w:spacing w:before="100"/>
        <w:ind w:firstLine="720"/>
        <w:jc w:val="both"/>
        <w:rPr>
          <w:spacing w:val="-2"/>
          <w:lang w:val="nb-NO"/>
        </w:rPr>
      </w:pPr>
      <w:r w:rsidRPr="00AF0440">
        <w:rPr>
          <w:lang w:val="nb-NO"/>
        </w:rPr>
        <w:t>- Về dự thảo Nghị quy</w:t>
      </w:r>
      <w:r w:rsidR="003342EB" w:rsidRPr="00AF0440">
        <w:rPr>
          <w:lang w:val="nb-NO"/>
        </w:rPr>
        <w:t>ế</w:t>
      </w:r>
      <w:r w:rsidRPr="00AF0440">
        <w:rPr>
          <w:lang w:val="nb-NO"/>
        </w:rPr>
        <w:t>t: Đề nghị b</w:t>
      </w:r>
      <w:r w:rsidR="003713C3">
        <w:rPr>
          <w:lang w:val="nb-NO"/>
        </w:rPr>
        <w:t>ổ</w:t>
      </w:r>
      <w:r w:rsidRPr="00AF0440">
        <w:rPr>
          <w:lang w:val="nb-NO"/>
        </w:rPr>
        <w:t xml:space="preserve"> sung thêm nội dung </w:t>
      </w:r>
      <w:r w:rsidR="003342EB" w:rsidRPr="00AF0440">
        <w:rPr>
          <w:lang w:val="nb-NO"/>
        </w:rPr>
        <w:t>“Hình thức sử dụng đất” và “</w:t>
      </w:r>
      <w:r w:rsidR="003342EB" w:rsidRPr="00AF0440">
        <w:rPr>
          <w:bCs/>
          <w:szCs w:val="28"/>
          <w:lang w:val="nb-NO"/>
        </w:rPr>
        <w:t>Phương án quản lý, sử dụng số tiền thu được từ khai thác quỹ đấ</w:t>
      </w:r>
      <w:r w:rsidR="00DF19B0">
        <w:rPr>
          <w:bCs/>
          <w:szCs w:val="28"/>
          <w:lang w:val="nb-NO"/>
        </w:rPr>
        <w:t>t”. R</w:t>
      </w:r>
      <w:r w:rsidR="00DF19B0" w:rsidRPr="00DF19B0">
        <w:rPr>
          <w:spacing w:val="-2"/>
          <w:lang w:val="nb-NO"/>
        </w:rPr>
        <w:t xml:space="preserve">à soát, thực hiện </w:t>
      </w:r>
      <w:r w:rsidR="00DF19B0">
        <w:rPr>
          <w:spacing w:val="-2"/>
          <w:lang w:val="nb-NO"/>
        </w:rPr>
        <w:t>v</w:t>
      </w:r>
      <w:r w:rsidR="00DF19B0" w:rsidRPr="00DF19B0">
        <w:rPr>
          <w:spacing w:val="-2"/>
          <w:lang w:val="nb-NO"/>
        </w:rPr>
        <w:t>ề thể thức, kỹ thuật trình bày văn bản</w:t>
      </w:r>
      <w:r w:rsidR="00DF19B0">
        <w:rPr>
          <w:spacing w:val="-2"/>
          <w:lang w:val="nb-NO"/>
        </w:rPr>
        <w:t xml:space="preserve"> </w:t>
      </w:r>
      <w:r w:rsidR="00DF19B0" w:rsidRPr="00DF19B0">
        <w:rPr>
          <w:spacing w:val="-2"/>
          <w:lang w:val="nb-NO"/>
        </w:rPr>
        <w:t>theo đúng quy định.</w:t>
      </w:r>
    </w:p>
    <w:p w:rsidR="003342EB" w:rsidRPr="00AF0440" w:rsidRDefault="003342EB" w:rsidP="00AF0440">
      <w:pPr>
        <w:shd w:val="clear" w:color="auto" w:fill="FFFFFF"/>
        <w:spacing w:before="120" w:after="120"/>
        <w:ind w:firstLine="720"/>
        <w:jc w:val="both"/>
        <w:rPr>
          <w:lang w:val="de-DE"/>
        </w:rPr>
      </w:pPr>
      <w:r w:rsidRPr="00AF0440">
        <w:rPr>
          <w:lang w:val="de-DE"/>
        </w:rPr>
        <w:t>Trên đây là Báo cáo thẩm tra của Ban Kinh tế - Ngân sách</w:t>
      </w:r>
      <w:r w:rsidRPr="00AF0440">
        <w:rPr>
          <w:bCs/>
          <w:lang w:val="de-DE"/>
        </w:rPr>
        <w:t>.</w:t>
      </w:r>
      <w:r w:rsidRPr="00AF0440">
        <w:rPr>
          <w:lang w:val="de-DE"/>
        </w:rPr>
        <w:t xml:space="preserve"> Kính trình Hội đồng nhân dân tỉnh Khóa XI, Kỳ họp thứ 11 xem xét, quyết định./.</w:t>
      </w:r>
    </w:p>
    <w:tbl>
      <w:tblPr>
        <w:tblW w:w="5000" w:type="pct"/>
        <w:tblLook w:val="01E0" w:firstRow="1" w:lastRow="1" w:firstColumn="1" w:lastColumn="1" w:noHBand="0" w:noVBand="0"/>
      </w:tblPr>
      <w:tblGrid>
        <w:gridCol w:w="4315"/>
        <w:gridCol w:w="4973"/>
      </w:tblGrid>
      <w:tr w:rsidR="002B1E2E" w:rsidRPr="008428AA" w:rsidTr="00B561F8">
        <w:tc>
          <w:tcPr>
            <w:tcW w:w="2323" w:type="pct"/>
          </w:tcPr>
          <w:p w:rsidR="002B1E2E" w:rsidRPr="003713C3" w:rsidRDefault="002B1E2E" w:rsidP="00B561F8">
            <w:pPr>
              <w:rPr>
                <w:b/>
                <w:i/>
                <w:sz w:val="24"/>
                <w:lang w:val="de-DE"/>
              </w:rPr>
            </w:pPr>
            <w:r w:rsidRPr="003713C3">
              <w:rPr>
                <w:b/>
                <w:i/>
                <w:sz w:val="24"/>
                <w:lang w:val="de-DE"/>
              </w:rPr>
              <w:t>Nơi nhận:</w:t>
            </w:r>
          </w:p>
          <w:p w:rsidR="002B1E2E" w:rsidRPr="003713C3" w:rsidRDefault="002B1E2E" w:rsidP="00B561F8">
            <w:pPr>
              <w:rPr>
                <w:sz w:val="22"/>
                <w:lang w:val="de-DE"/>
              </w:rPr>
            </w:pPr>
            <w:r w:rsidRPr="003713C3">
              <w:rPr>
                <w:sz w:val="22"/>
                <w:lang w:val="de-DE"/>
              </w:rPr>
              <w:t>- Thường trực HĐND tỉnh;</w:t>
            </w:r>
          </w:p>
          <w:p w:rsidR="002B1E2E" w:rsidRPr="003713C3" w:rsidRDefault="002B1E2E" w:rsidP="00B561F8">
            <w:pPr>
              <w:rPr>
                <w:sz w:val="22"/>
                <w:lang w:val="de-DE"/>
              </w:rPr>
            </w:pPr>
            <w:r w:rsidRPr="003713C3">
              <w:rPr>
                <w:sz w:val="22"/>
                <w:lang w:val="de-DE"/>
              </w:rPr>
              <w:t xml:space="preserve">- UBND tỉnh; </w:t>
            </w:r>
            <w:r w:rsidRPr="003713C3">
              <w:rPr>
                <w:sz w:val="22"/>
                <w:lang w:val="de-DE"/>
              </w:rPr>
              <w:tab/>
            </w:r>
          </w:p>
          <w:p w:rsidR="002B1E2E" w:rsidRPr="003713C3" w:rsidRDefault="002B1E2E" w:rsidP="00B561F8">
            <w:pPr>
              <w:rPr>
                <w:sz w:val="22"/>
                <w:lang w:val="de-DE"/>
              </w:rPr>
            </w:pPr>
            <w:r w:rsidRPr="003713C3">
              <w:rPr>
                <w:sz w:val="22"/>
                <w:lang w:val="de-DE"/>
              </w:rPr>
              <w:t>- Đại biểu HĐND tỉnh;</w:t>
            </w:r>
          </w:p>
          <w:p w:rsidR="002B1E2E" w:rsidRPr="008428AA" w:rsidRDefault="002B1E2E" w:rsidP="003342EB">
            <w:r w:rsidRPr="008428AA">
              <w:rPr>
                <w:sz w:val="22"/>
              </w:rPr>
              <w:t xml:space="preserve">- Lưu: VT, </w:t>
            </w:r>
            <w:r>
              <w:rPr>
                <w:sz w:val="22"/>
              </w:rPr>
              <w:t xml:space="preserve">Ban </w:t>
            </w:r>
            <w:r w:rsidRPr="008428AA">
              <w:rPr>
                <w:sz w:val="22"/>
              </w:rPr>
              <w:t>KT-</w:t>
            </w:r>
            <w:proofErr w:type="gramStart"/>
            <w:r w:rsidRPr="008428AA">
              <w:rPr>
                <w:sz w:val="22"/>
              </w:rPr>
              <w:t>NS</w:t>
            </w:r>
            <w:r w:rsidRPr="008428AA">
              <w:rPr>
                <w:sz w:val="18"/>
                <w:vertAlign w:val="subscript"/>
              </w:rPr>
              <w:t>(</w:t>
            </w:r>
            <w:proofErr w:type="gramEnd"/>
            <w:r>
              <w:rPr>
                <w:sz w:val="18"/>
                <w:vertAlign w:val="subscript"/>
              </w:rPr>
              <w:t>Tr.</w:t>
            </w:r>
            <w:r w:rsidRPr="008428AA">
              <w:rPr>
                <w:sz w:val="18"/>
                <w:vertAlign w:val="subscript"/>
              </w:rPr>
              <w:t>A)</w:t>
            </w:r>
            <w:r w:rsidRPr="008428AA">
              <w:rPr>
                <w:sz w:val="14"/>
              </w:rPr>
              <w:t>.</w:t>
            </w:r>
          </w:p>
        </w:tc>
        <w:tc>
          <w:tcPr>
            <w:tcW w:w="2677" w:type="pct"/>
          </w:tcPr>
          <w:p w:rsidR="002B1E2E" w:rsidRPr="008428AA" w:rsidRDefault="002B1E2E" w:rsidP="00B561F8">
            <w:pPr>
              <w:jc w:val="center"/>
              <w:rPr>
                <w:b/>
              </w:rPr>
            </w:pPr>
            <w:r w:rsidRPr="008428AA">
              <w:rPr>
                <w:b/>
              </w:rPr>
              <w:t>TM. BAN KINH TẾ - NGÂN SÁCH</w:t>
            </w:r>
          </w:p>
          <w:p w:rsidR="002B1E2E" w:rsidRPr="008428AA" w:rsidRDefault="002B1E2E" w:rsidP="00B561F8">
            <w:pPr>
              <w:jc w:val="center"/>
              <w:rPr>
                <w:b/>
              </w:rPr>
            </w:pPr>
            <w:r w:rsidRPr="008428AA">
              <w:rPr>
                <w:b/>
              </w:rPr>
              <w:t>TRƯỞNG BAN</w:t>
            </w:r>
          </w:p>
          <w:p w:rsidR="002B1E2E" w:rsidRPr="008428AA" w:rsidRDefault="009E4B63" w:rsidP="00B561F8">
            <w:pPr>
              <w:jc w:val="center"/>
              <w:rPr>
                <w:b/>
              </w:rPr>
            </w:pPr>
            <w:r>
              <w:rPr>
                <w:b/>
              </w:rPr>
              <w:t>Đã ký</w:t>
            </w:r>
            <w:bookmarkStart w:id="2" w:name="_GoBack"/>
            <w:bookmarkEnd w:id="2"/>
          </w:p>
          <w:p w:rsidR="002B1E2E" w:rsidRPr="008428AA" w:rsidRDefault="002B1E2E" w:rsidP="00B561F8">
            <w:pPr>
              <w:jc w:val="center"/>
              <w:rPr>
                <w:b/>
              </w:rPr>
            </w:pPr>
            <w:r w:rsidRPr="008428AA">
              <w:rPr>
                <w:b/>
              </w:rPr>
              <w:t>Hồ Văn Đà</w:t>
            </w:r>
          </w:p>
        </w:tc>
      </w:tr>
    </w:tbl>
    <w:p w:rsidR="002B1E2E" w:rsidRDefault="002B1E2E" w:rsidP="002B1E2E"/>
    <w:p w:rsidR="00B46A04" w:rsidRDefault="005B7A26"/>
    <w:sectPr w:rsidR="00B46A04" w:rsidSect="004005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26" w:rsidRDefault="005B7A26" w:rsidP="00CD4B40">
      <w:r>
        <w:separator/>
      </w:r>
    </w:p>
  </w:endnote>
  <w:endnote w:type="continuationSeparator" w:id="0">
    <w:p w:rsidR="005B7A26" w:rsidRDefault="005B7A26" w:rsidP="00CD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26" w:rsidRDefault="005B7A26" w:rsidP="00CD4B40">
      <w:r>
        <w:separator/>
      </w:r>
    </w:p>
  </w:footnote>
  <w:footnote w:type="continuationSeparator" w:id="0">
    <w:p w:rsidR="005B7A26" w:rsidRDefault="005B7A26" w:rsidP="00CD4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2E"/>
    <w:rsid w:val="00030D1E"/>
    <w:rsid w:val="001725C6"/>
    <w:rsid w:val="001B6190"/>
    <w:rsid w:val="001D7C49"/>
    <w:rsid w:val="0020787B"/>
    <w:rsid w:val="002B1E2E"/>
    <w:rsid w:val="003342EB"/>
    <w:rsid w:val="003713C3"/>
    <w:rsid w:val="0038316C"/>
    <w:rsid w:val="003B24EF"/>
    <w:rsid w:val="003B763D"/>
    <w:rsid w:val="003C2C03"/>
    <w:rsid w:val="003E158D"/>
    <w:rsid w:val="004005D9"/>
    <w:rsid w:val="005B7A26"/>
    <w:rsid w:val="00643472"/>
    <w:rsid w:val="006A3687"/>
    <w:rsid w:val="006D2E52"/>
    <w:rsid w:val="009C2D44"/>
    <w:rsid w:val="009E28A8"/>
    <w:rsid w:val="009E4B63"/>
    <w:rsid w:val="009E7473"/>
    <w:rsid w:val="00A54DF8"/>
    <w:rsid w:val="00AD595B"/>
    <w:rsid w:val="00AE484C"/>
    <w:rsid w:val="00AF0440"/>
    <w:rsid w:val="00AF4152"/>
    <w:rsid w:val="00B23848"/>
    <w:rsid w:val="00BA0ECA"/>
    <w:rsid w:val="00BB796B"/>
    <w:rsid w:val="00C46906"/>
    <w:rsid w:val="00C56E12"/>
    <w:rsid w:val="00CD4B40"/>
    <w:rsid w:val="00D174A4"/>
    <w:rsid w:val="00DF19B0"/>
    <w:rsid w:val="00E56C9E"/>
    <w:rsid w:val="00FC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3">
    <w:name w:val="heading 3"/>
    <w:basedOn w:val="Normal"/>
    <w:next w:val="Normal"/>
    <w:link w:val="Heading3Char"/>
    <w:unhideWhenUsed/>
    <w:qFormat/>
    <w:rsid w:val="00CD4B40"/>
    <w:pPr>
      <w:keepNext/>
      <w:jc w:val="center"/>
      <w:outlineLvl w:val="2"/>
    </w:pPr>
    <w:rPr>
      <w:rFonts w:ascii=".VnTime" w:eastAsia="Times New Roman" w:hAnsi=".VnTime"/>
      <w:b/>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or-After">
    <w:name w:val="Befor-After"/>
    <w:basedOn w:val="Normal"/>
    <w:qFormat/>
    <w:rsid w:val="002B1E2E"/>
    <w:pPr>
      <w:spacing w:before="120" w:after="120"/>
      <w:jc w:val="both"/>
    </w:pPr>
    <w:rPr>
      <w:rFonts w:eastAsia="Times New Roman"/>
      <w:noProof/>
      <w:color w:val="002060"/>
      <w:szCs w:val="28"/>
      <w:lang w:val="vi-VN"/>
    </w:rPr>
  </w:style>
  <w:style w:type="character" w:customStyle="1" w:styleId="Heading3Char">
    <w:name w:val="Heading 3 Char"/>
    <w:basedOn w:val="DefaultParagraphFont"/>
    <w:link w:val="Heading3"/>
    <w:rsid w:val="00CD4B40"/>
    <w:rPr>
      <w:rFonts w:ascii=".VnTime" w:eastAsia="Times New Roman" w:hAnsi=".VnTime"/>
      <w:b/>
      <w:sz w:val="26"/>
      <w:szCs w:val="24"/>
      <w:lang w:val="x-none" w:eastAsia="x-none"/>
    </w:rPr>
  </w:style>
  <w:style w:type="paragraph" w:styleId="NormalWeb">
    <w:name w:val="Normal (Web)"/>
    <w:basedOn w:val="Normal"/>
    <w:unhideWhenUsed/>
    <w:rsid w:val="00CD4B40"/>
    <w:pPr>
      <w:spacing w:before="100" w:beforeAutospacing="1" w:after="100" w:afterAutospacing="1"/>
    </w:pPr>
    <w:rPr>
      <w:rFonts w:eastAsia="Times New Roman"/>
      <w:sz w:val="24"/>
      <w:szCs w:val="24"/>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rsid w:val="00CD4B40"/>
    <w:rPr>
      <w:vertAlign w:val="superscript"/>
    </w:rPr>
  </w:style>
  <w:style w:type="paragraph" w:styleId="FootnoteText">
    <w:name w:val="footnote text"/>
    <w:basedOn w:val="Normal"/>
    <w:link w:val="FootnoteTextChar"/>
    <w:uiPriority w:val="99"/>
    <w:semiHidden/>
    <w:unhideWhenUsed/>
    <w:rsid w:val="00CD4B40"/>
    <w:pPr>
      <w:jc w:val="both"/>
    </w:pPr>
    <w:rPr>
      <w:rFonts w:eastAsia="Times New Roman"/>
      <w:noProof/>
      <w:color w:val="002060"/>
      <w:sz w:val="20"/>
      <w:lang w:val="vi-VN"/>
    </w:rPr>
  </w:style>
  <w:style w:type="character" w:customStyle="1" w:styleId="FootnoteTextChar">
    <w:name w:val="Footnote Text Char"/>
    <w:basedOn w:val="DefaultParagraphFont"/>
    <w:link w:val="FootnoteText"/>
    <w:uiPriority w:val="99"/>
    <w:semiHidden/>
    <w:rsid w:val="00CD4B40"/>
    <w:rPr>
      <w:rFonts w:eastAsia="Times New Roman"/>
      <w:noProof/>
      <w:color w:val="00206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3">
    <w:name w:val="heading 3"/>
    <w:basedOn w:val="Normal"/>
    <w:next w:val="Normal"/>
    <w:link w:val="Heading3Char"/>
    <w:unhideWhenUsed/>
    <w:qFormat/>
    <w:rsid w:val="00CD4B40"/>
    <w:pPr>
      <w:keepNext/>
      <w:jc w:val="center"/>
      <w:outlineLvl w:val="2"/>
    </w:pPr>
    <w:rPr>
      <w:rFonts w:ascii=".VnTime" w:eastAsia="Times New Roman" w:hAnsi=".VnTime"/>
      <w:b/>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or-After">
    <w:name w:val="Befor-After"/>
    <w:basedOn w:val="Normal"/>
    <w:qFormat/>
    <w:rsid w:val="002B1E2E"/>
    <w:pPr>
      <w:spacing w:before="120" w:after="120"/>
      <w:jc w:val="both"/>
    </w:pPr>
    <w:rPr>
      <w:rFonts w:eastAsia="Times New Roman"/>
      <w:noProof/>
      <w:color w:val="002060"/>
      <w:szCs w:val="28"/>
      <w:lang w:val="vi-VN"/>
    </w:rPr>
  </w:style>
  <w:style w:type="character" w:customStyle="1" w:styleId="Heading3Char">
    <w:name w:val="Heading 3 Char"/>
    <w:basedOn w:val="DefaultParagraphFont"/>
    <w:link w:val="Heading3"/>
    <w:rsid w:val="00CD4B40"/>
    <w:rPr>
      <w:rFonts w:ascii=".VnTime" w:eastAsia="Times New Roman" w:hAnsi=".VnTime"/>
      <w:b/>
      <w:sz w:val="26"/>
      <w:szCs w:val="24"/>
      <w:lang w:val="x-none" w:eastAsia="x-none"/>
    </w:rPr>
  </w:style>
  <w:style w:type="paragraph" w:styleId="NormalWeb">
    <w:name w:val="Normal (Web)"/>
    <w:basedOn w:val="Normal"/>
    <w:unhideWhenUsed/>
    <w:rsid w:val="00CD4B40"/>
    <w:pPr>
      <w:spacing w:before="100" w:beforeAutospacing="1" w:after="100" w:afterAutospacing="1"/>
    </w:pPr>
    <w:rPr>
      <w:rFonts w:eastAsia="Times New Roman"/>
      <w:sz w:val="24"/>
      <w:szCs w:val="24"/>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rsid w:val="00CD4B40"/>
    <w:rPr>
      <w:vertAlign w:val="superscript"/>
    </w:rPr>
  </w:style>
  <w:style w:type="paragraph" w:styleId="FootnoteText">
    <w:name w:val="footnote text"/>
    <w:basedOn w:val="Normal"/>
    <w:link w:val="FootnoteTextChar"/>
    <w:uiPriority w:val="99"/>
    <w:semiHidden/>
    <w:unhideWhenUsed/>
    <w:rsid w:val="00CD4B40"/>
    <w:pPr>
      <w:jc w:val="both"/>
    </w:pPr>
    <w:rPr>
      <w:rFonts w:eastAsia="Times New Roman"/>
      <w:noProof/>
      <w:color w:val="002060"/>
      <w:sz w:val="20"/>
      <w:lang w:val="vi-VN"/>
    </w:rPr>
  </w:style>
  <w:style w:type="character" w:customStyle="1" w:styleId="FootnoteTextChar">
    <w:name w:val="Footnote Text Char"/>
    <w:basedOn w:val="DefaultParagraphFont"/>
    <w:link w:val="FootnoteText"/>
    <w:uiPriority w:val="99"/>
    <w:semiHidden/>
    <w:rsid w:val="00CD4B40"/>
    <w:rPr>
      <w:rFonts w:eastAsia="Times New Roman"/>
      <w:noProof/>
      <w:color w:val="00206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2020-11-29T07:41:00Z</dcterms:created>
  <dcterms:modified xsi:type="dcterms:W3CDTF">2020-12-02T07:49:00Z</dcterms:modified>
</cp:coreProperties>
</file>