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82" w:type="pct"/>
        <w:tblInd w:w="-176" w:type="dxa"/>
        <w:tblLook w:val="01E0" w:firstRow="1" w:lastRow="1" w:firstColumn="1" w:lastColumn="1" w:noHBand="0" w:noVBand="0"/>
      </w:tblPr>
      <w:tblGrid>
        <w:gridCol w:w="3944"/>
        <w:gridCol w:w="5975"/>
      </w:tblGrid>
      <w:tr w:rsidR="007C037B" w:rsidRPr="00A0328C" w:rsidTr="00CB18D9">
        <w:trPr>
          <w:trHeight w:hRule="exact" w:val="907"/>
        </w:trPr>
        <w:tc>
          <w:tcPr>
            <w:tcW w:w="1988" w:type="pct"/>
            <w:shd w:val="clear" w:color="auto" w:fill="auto"/>
          </w:tcPr>
          <w:p w:rsidR="007C037B" w:rsidRPr="00A0328C" w:rsidRDefault="007C037B" w:rsidP="008E5C8D">
            <w:pPr>
              <w:jc w:val="center"/>
              <w:rPr>
                <w:sz w:val="26"/>
                <w:szCs w:val="28"/>
              </w:rPr>
            </w:pPr>
            <w:r w:rsidRPr="00A0328C">
              <w:rPr>
                <w:sz w:val="26"/>
                <w:szCs w:val="28"/>
              </w:rPr>
              <w:t>HĐND TỈNH KON TUM</w:t>
            </w:r>
          </w:p>
          <w:p w:rsidR="007C037B" w:rsidRPr="00A0328C" w:rsidRDefault="00942FC4" w:rsidP="008E5C8D">
            <w:pPr>
              <w:jc w:val="center"/>
              <w:rPr>
                <w:b/>
                <w:sz w:val="26"/>
                <w:szCs w:val="28"/>
              </w:rPr>
            </w:pPr>
            <w:r w:rsidRPr="00A0328C">
              <w:rPr>
                <w:sz w:val="26"/>
                <w:szCs w:val="28"/>
                <w:lang w:eastAsia="vi-VN"/>
              </w:rPr>
              <mc:AlternateContent>
                <mc:Choice Requires="wps">
                  <w:drawing>
                    <wp:anchor distT="0" distB="0" distL="114300" distR="114300" simplePos="0" relativeHeight="251656704" behindDoc="0" locked="0" layoutInCell="1" allowOverlap="1" wp14:anchorId="52F2AA15" wp14:editId="4273BC99">
                      <wp:simplePos x="0" y="0"/>
                      <wp:positionH relativeFrom="margin">
                        <wp:align>center</wp:align>
                      </wp:positionH>
                      <wp:positionV relativeFrom="paragraph">
                        <wp:posOffset>254611</wp:posOffset>
                      </wp:positionV>
                      <wp:extent cx="603849" cy="0"/>
                      <wp:effectExtent l="0" t="0" r="2540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4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98AB53A" id="Straight Connector 2" o:spid="_x0000_s1026" style="position:absolute;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0.05pt" to="47.5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">
                      <w10:wrap anchorx="margin"/>
                    </v:line>
                  </w:pict>
                </mc:Fallback>
              </mc:AlternateContent>
            </w:r>
            <w:r w:rsidR="007C037B" w:rsidRPr="00A0328C">
              <w:rPr>
                <w:b/>
                <w:sz w:val="26"/>
                <w:szCs w:val="28"/>
              </w:rPr>
              <w:t>BAN KINH TẾ - NGÂN SÁCH</w:t>
            </w:r>
          </w:p>
        </w:tc>
        <w:tc>
          <w:tcPr>
            <w:tcW w:w="3012" w:type="pct"/>
            <w:shd w:val="clear" w:color="auto" w:fill="auto"/>
          </w:tcPr>
          <w:p w:rsidR="007C037B" w:rsidRPr="00A0328C" w:rsidRDefault="007C037B" w:rsidP="008E5C8D">
            <w:pPr>
              <w:jc w:val="center"/>
              <w:rPr>
                <w:b/>
                <w:sz w:val="26"/>
                <w:szCs w:val="28"/>
              </w:rPr>
            </w:pPr>
            <w:r w:rsidRPr="00A0328C">
              <w:rPr>
                <w:b/>
                <w:sz w:val="26"/>
                <w:szCs w:val="28"/>
              </w:rPr>
              <w:t>CỘNG HÒA XÃ HỘI CHỦ NGHĨA VIỆT NAM</w:t>
            </w:r>
          </w:p>
          <w:p w:rsidR="007C037B" w:rsidRPr="00A0328C" w:rsidRDefault="00942FC4" w:rsidP="008E5C8D">
            <w:pPr>
              <w:jc w:val="center"/>
              <w:rPr>
                <w:b/>
                <w:sz w:val="26"/>
                <w:szCs w:val="28"/>
              </w:rPr>
            </w:pPr>
            <w:r w:rsidRPr="00A0328C">
              <w:rPr>
                <w:szCs w:val="28"/>
                <w:lang w:eastAsia="vi-VN"/>
              </w:rPr>
              <mc:AlternateContent>
                <mc:Choice Requires="wps">
                  <w:drawing>
                    <wp:anchor distT="0" distB="0" distL="114300" distR="114300" simplePos="0" relativeHeight="251657728" behindDoc="0" locked="0" layoutInCell="1" allowOverlap="1" wp14:anchorId="6D1712AB" wp14:editId="29342934">
                      <wp:simplePos x="0" y="0"/>
                      <wp:positionH relativeFrom="margin">
                        <wp:align>center</wp:align>
                      </wp:positionH>
                      <wp:positionV relativeFrom="paragraph">
                        <wp:posOffset>254611</wp:posOffset>
                      </wp:positionV>
                      <wp:extent cx="2113472" cy="0"/>
                      <wp:effectExtent l="0" t="0" r="20320"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34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728DB7E" id="Straight Connector 1" o:spid="_x0000_s1026" style="position:absolute;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0.05pt" to="166.4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">
                      <w10:wrap anchorx="margin"/>
                    </v:line>
                  </w:pict>
                </mc:Fallback>
              </mc:AlternateContent>
            </w:r>
            <w:r w:rsidR="007C037B" w:rsidRPr="00A0328C">
              <w:rPr>
                <w:b/>
                <w:szCs w:val="28"/>
              </w:rPr>
              <w:t>Độc lập - Tự do - Hạnh phúc</w:t>
            </w:r>
          </w:p>
        </w:tc>
      </w:tr>
      <w:tr w:rsidR="007C037B" w:rsidRPr="00A0328C" w:rsidTr="00CB18D9">
        <w:trPr>
          <w:trHeight w:hRule="exact" w:val="518"/>
        </w:trPr>
        <w:tc>
          <w:tcPr>
            <w:tcW w:w="1988" w:type="pct"/>
            <w:shd w:val="clear" w:color="auto" w:fill="auto"/>
          </w:tcPr>
          <w:p w:rsidR="007C037B" w:rsidRPr="00A0328C" w:rsidRDefault="007C037B" w:rsidP="008E5C8D">
            <w:pPr>
              <w:jc w:val="center"/>
              <w:rPr>
                <w:szCs w:val="28"/>
              </w:rPr>
            </w:pPr>
            <w:r w:rsidRPr="00A0328C">
              <w:rPr>
                <w:szCs w:val="28"/>
              </w:rPr>
              <w:t xml:space="preserve">Số:  </w:t>
            </w:r>
            <w:r w:rsidR="00BD447E">
              <w:rPr>
                <w:szCs w:val="28"/>
                <w:lang w:val="en-US"/>
              </w:rPr>
              <w:t>136</w:t>
            </w:r>
            <w:r w:rsidRPr="00A0328C">
              <w:rPr>
                <w:szCs w:val="28"/>
              </w:rPr>
              <w:t xml:space="preserve"> /BC-BKTNS</w:t>
            </w:r>
          </w:p>
          <w:p w:rsidR="007C037B" w:rsidRPr="00A0328C" w:rsidRDefault="007C037B" w:rsidP="008E5C8D">
            <w:pPr>
              <w:ind w:firstLine="709"/>
              <w:jc w:val="both"/>
              <w:rPr>
                <w:szCs w:val="28"/>
              </w:rPr>
            </w:pPr>
          </w:p>
          <w:p w:rsidR="007C037B" w:rsidRPr="00A0328C" w:rsidRDefault="007C037B" w:rsidP="008E5C8D">
            <w:pPr>
              <w:ind w:firstLine="709"/>
              <w:jc w:val="both"/>
              <w:rPr>
                <w:szCs w:val="28"/>
              </w:rPr>
            </w:pPr>
          </w:p>
          <w:p w:rsidR="007C037B" w:rsidRPr="00A0328C" w:rsidRDefault="007C037B" w:rsidP="008E5C8D">
            <w:pPr>
              <w:ind w:firstLine="709"/>
              <w:jc w:val="both"/>
              <w:rPr>
                <w:szCs w:val="28"/>
              </w:rPr>
            </w:pPr>
          </w:p>
        </w:tc>
        <w:tc>
          <w:tcPr>
            <w:tcW w:w="3012" w:type="pct"/>
            <w:shd w:val="clear" w:color="auto" w:fill="auto"/>
          </w:tcPr>
          <w:p w:rsidR="007C037B" w:rsidRPr="00A0328C" w:rsidRDefault="007C037B" w:rsidP="00BD447E">
            <w:pPr>
              <w:ind w:firstLine="709"/>
              <w:jc w:val="both"/>
              <w:rPr>
                <w:i/>
                <w:szCs w:val="28"/>
              </w:rPr>
            </w:pPr>
            <w:r w:rsidRPr="00A0328C">
              <w:rPr>
                <w:i/>
                <w:szCs w:val="28"/>
              </w:rPr>
              <w:t xml:space="preserve">Kon Tum, ngày </w:t>
            </w:r>
            <w:r w:rsidR="00BD447E">
              <w:rPr>
                <w:i/>
                <w:szCs w:val="28"/>
                <w:lang w:val="en-US"/>
              </w:rPr>
              <w:t>02</w:t>
            </w:r>
            <w:r w:rsidRPr="00A0328C">
              <w:rPr>
                <w:i/>
                <w:szCs w:val="28"/>
              </w:rPr>
              <w:t xml:space="preserve"> tháng </w:t>
            </w:r>
            <w:r w:rsidR="00BD447E">
              <w:rPr>
                <w:i/>
                <w:szCs w:val="28"/>
                <w:lang w:val="en-US"/>
              </w:rPr>
              <w:t>12</w:t>
            </w:r>
            <w:r w:rsidRPr="00A0328C">
              <w:rPr>
                <w:i/>
                <w:szCs w:val="28"/>
              </w:rPr>
              <w:t xml:space="preserve"> năm </w:t>
            </w:r>
            <w:r w:rsidR="00BD447E">
              <w:rPr>
                <w:i/>
                <w:szCs w:val="28"/>
                <w:lang w:val="en-US"/>
              </w:rPr>
              <w:t>2020</w:t>
            </w:r>
            <w:r w:rsidRPr="00A0328C">
              <w:rPr>
                <w:i/>
                <w:szCs w:val="28"/>
              </w:rPr>
              <w:t xml:space="preserve">   </w:t>
            </w:r>
          </w:p>
        </w:tc>
      </w:tr>
    </w:tbl>
    <w:p w:rsidR="00CB18D9" w:rsidRDefault="00CB18D9" w:rsidP="007C037B">
      <w:pPr>
        <w:tabs>
          <w:tab w:val="center" w:pos="1800"/>
          <w:tab w:val="center" w:pos="6120"/>
        </w:tabs>
        <w:jc w:val="center"/>
        <w:rPr>
          <w:b/>
          <w:lang w:val="en-US"/>
        </w:rPr>
      </w:pPr>
    </w:p>
    <w:p w:rsidR="007C037B" w:rsidRPr="00A0328C" w:rsidRDefault="007C037B" w:rsidP="00D769B5">
      <w:pPr>
        <w:jc w:val="center"/>
        <w:rPr>
          <w:b/>
        </w:rPr>
      </w:pPr>
      <w:r w:rsidRPr="00A0328C">
        <w:rPr>
          <w:b/>
        </w:rPr>
        <w:t>BÁO CÁO THẨM TRA</w:t>
      </w:r>
    </w:p>
    <w:p w:rsidR="00230513" w:rsidRDefault="007C037B" w:rsidP="00D621B3">
      <w:pPr>
        <w:jc w:val="center"/>
        <w:rPr>
          <w:b/>
          <w:spacing w:val="-4"/>
          <w:szCs w:val="28"/>
          <w:lang w:val="nl-NL"/>
        </w:rPr>
      </w:pPr>
      <w:r w:rsidRPr="00A0328C">
        <w:rPr>
          <w:b/>
        </w:rPr>
        <w:t xml:space="preserve">Dự thảo </w:t>
      </w:r>
      <w:r w:rsidR="00230513">
        <w:rPr>
          <w:b/>
          <w:lang w:val="en-US"/>
        </w:rPr>
        <w:t>N</w:t>
      </w:r>
      <w:r w:rsidR="00EE76A4" w:rsidRPr="00A0328C">
        <w:rPr>
          <w:b/>
        </w:rPr>
        <w:t xml:space="preserve">ghị quyết </w:t>
      </w:r>
      <w:r w:rsidR="00D621B3">
        <w:rPr>
          <w:b/>
          <w:spacing w:val="-4"/>
          <w:szCs w:val="28"/>
          <w:lang w:val="nl-NL"/>
        </w:rPr>
        <w:t xml:space="preserve">phân bổ chi tiết nguồn thu </w:t>
      </w:r>
    </w:p>
    <w:p w:rsidR="00D621B3" w:rsidRDefault="00D621B3" w:rsidP="00D621B3">
      <w:pPr>
        <w:jc w:val="center"/>
        <w:rPr>
          <w:b/>
          <w:spacing w:val="-4"/>
          <w:szCs w:val="28"/>
          <w:lang w:val="nl-NL"/>
        </w:rPr>
      </w:pPr>
      <w:r>
        <w:rPr>
          <w:b/>
          <w:spacing w:val="-4"/>
          <w:szCs w:val="28"/>
          <w:lang w:val="nl-NL"/>
        </w:rPr>
        <w:t>tiền sử dụng đất (đợ</w:t>
      </w:r>
      <w:r w:rsidR="00230513">
        <w:rPr>
          <w:b/>
          <w:spacing w:val="-4"/>
          <w:szCs w:val="28"/>
          <w:lang w:val="nl-NL"/>
        </w:rPr>
        <w:t>t 3</w:t>
      </w:r>
      <w:r>
        <w:rPr>
          <w:b/>
          <w:spacing w:val="-4"/>
          <w:szCs w:val="28"/>
          <w:lang w:val="nl-NL"/>
        </w:rPr>
        <w:t>) năm 2020</w:t>
      </w:r>
    </w:p>
    <w:p w:rsidR="007C037B" w:rsidRPr="00A0328C" w:rsidRDefault="00942FC4" w:rsidP="00D621B3">
      <w:pPr>
        <w:jc w:val="center"/>
        <w:rPr>
          <w:b/>
          <w:u w:val="single"/>
          <w:vertAlign w:val="subscript"/>
        </w:rPr>
      </w:pPr>
      <w:r w:rsidRPr="00A0328C">
        <w:rPr>
          <w:lang w:eastAsia="vi-VN"/>
        </w:rPr>
        <mc:AlternateContent>
          <mc:Choice Requires="wps">
            <w:drawing>
              <wp:anchor distT="0" distB="0" distL="114300" distR="114300" simplePos="0" relativeHeight="251658752" behindDoc="0" locked="0" layoutInCell="1" allowOverlap="1" wp14:anchorId="3E1A7BDC" wp14:editId="190E7EAA">
                <wp:simplePos x="0" y="0"/>
                <wp:positionH relativeFrom="margin">
                  <wp:align>center</wp:align>
                </wp:positionH>
                <wp:positionV relativeFrom="paragraph">
                  <wp:posOffset>83760</wp:posOffset>
                </wp:positionV>
                <wp:extent cx="1242204" cy="0"/>
                <wp:effectExtent l="0" t="0" r="152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22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334EC41" id="Straight Connector 1" o:spid="_x0000_s1026" style="position:absolute;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6.6pt" to="97.8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">
                <w10:wrap anchorx="margin"/>
              </v:line>
            </w:pict>
          </mc:Fallback>
        </mc:AlternateContent>
      </w:r>
    </w:p>
    <w:p w:rsidR="007C037B" w:rsidRPr="00B23F98" w:rsidRDefault="007C037B" w:rsidP="00CD5ED1">
      <w:pPr>
        <w:widowControl w:val="0"/>
        <w:spacing w:before="60" w:after="60" w:line="252" w:lineRule="auto"/>
        <w:ind w:firstLine="709"/>
        <w:jc w:val="both"/>
        <w:rPr>
          <w:szCs w:val="28"/>
        </w:rPr>
      </w:pPr>
      <w:r w:rsidRPr="00D769B5">
        <w:rPr>
          <w:szCs w:val="28"/>
        </w:rPr>
        <w:t xml:space="preserve">Căn cứ Luật Tổ chức </w:t>
      </w:r>
      <w:r w:rsidR="00D621B3" w:rsidRPr="00B23F98">
        <w:rPr>
          <w:szCs w:val="28"/>
        </w:rPr>
        <w:t>c</w:t>
      </w:r>
      <w:r w:rsidRPr="00D769B5">
        <w:rPr>
          <w:szCs w:val="28"/>
        </w:rPr>
        <w:t xml:space="preserve">hính quyền địa phương năm 2015; </w:t>
      </w:r>
      <w:r w:rsidRPr="00D769B5">
        <w:rPr>
          <w:rFonts w:eastAsia="Times New Roman"/>
          <w:szCs w:val="28"/>
          <w:lang w:eastAsia="x-none"/>
        </w:rPr>
        <w:t xml:space="preserve">Luật </w:t>
      </w:r>
      <w:r w:rsidR="00622526" w:rsidRPr="00B23F98">
        <w:rPr>
          <w:rFonts w:eastAsia="Times New Roman"/>
          <w:szCs w:val="28"/>
          <w:lang w:eastAsia="x-none"/>
        </w:rPr>
        <w:t>s</w:t>
      </w:r>
      <w:r w:rsidR="002E1918" w:rsidRPr="00D769B5">
        <w:rPr>
          <w:rFonts w:eastAsia="Times New Roman"/>
          <w:szCs w:val="28"/>
          <w:lang w:eastAsia="x-none"/>
        </w:rPr>
        <w:t xml:space="preserve">ửa </w:t>
      </w:r>
      <w:r w:rsidRPr="00D769B5">
        <w:rPr>
          <w:rFonts w:eastAsia="Times New Roman"/>
          <w:szCs w:val="28"/>
          <w:lang w:eastAsia="x-none"/>
        </w:rPr>
        <w:t xml:space="preserve">đổi, bổ sung một số điều của Luật </w:t>
      </w:r>
      <w:r w:rsidR="00351123" w:rsidRPr="00D769B5">
        <w:rPr>
          <w:rFonts w:eastAsia="Times New Roman"/>
          <w:szCs w:val="28"/>
          <w:lang w:eastAsia="x-none"/>
        </w:rPr>
        <w:t>T</w:t>
      </w:r>
      <w:r w:rsidRPr="00D769B5">
        <w:rPr>
          <w:rFonts w:eastAsia="Times New Roman"/>
          <w:szCs w:val="28"/>
          <w:lang w:eastAsia="x-none"/>
        </w:rPr>
        <w:t xml:space="preserve">ổ chức Chính phủ và Luật </w:t>
      </w:r>
      <w:r w:rsidR="00351123" w:rsidRPr="00D769B5">
        <w:rPr>
          <w:rFonts w:eastAsia="Times New Roman"/>
          <w:szCs w:val="28"/>
          <w:lang w:eastAsia="x-none"/>
        </w:rPr>
        <w:t>T</w:t>
      </w:r>
      <w:r w:rsidRPr="00D769B5">
        <w:rPr>
          <w:rFonts w:eastAsia="Times New Roman"/>
          <w:szCs w:val="28"/>
          <w:lang w:eastAsia="x-none"/>
        </w:rPr>
        <w:t>ổ chức chính quyền địa phương năm 2019;</w:t>
      </w:r>
      <w:r w:rsidRPr="00D769B5">
        <w:rPr>
          <w:rFonts w:eastAsia="Times New Roman"/>
          <w:i/>
          <w:szCs w:val="28"/>
          <w:lang w:eastAsia="x-none"/>
        </w:rPr>
        <w:t xml:space="preserve"> </w:t>
      </w:r>
      <w:r w:rsidRPr="00D769B5">
        <w:rPr>
          <w:szCs w:val="28"/>
        </w:rPr>
        <w:t>Luậ</w:t>
      </w:r>
      <w:r w:rsidR="001671ED" w:rsidRPr="00D769B5">
        <w:rPr>
          <w:szCs w:val="28"/>
        </w:rPr>
        <w:t>t H</w:t>
      </w:r>
      <w:r w:rsidRPr="00D769B5">
        <w:rPr>
          <w:szCs w:val="28"/>
        </w:rPr>
        <w:t>oạt động giám sát của Quốc hội và Hội đồ</w:t>
      </w:r>
      <w:r w:rsidR="00230513">
        <w:rPr>
          <w:szCs w:val="28"/>
        </w:rPr>
        <w:t>ng nhân dân năm 2015</w:t>
      </w:r>
      <w:r w:rsidR="00230513" w:rsidRPr="00B23F98">
        <w:rPr>
          <w:szCs w:val="28"/>
        </w:rPr>
        <w:t>.</w:t>
      </w:r>
    </w:p>
    <w:p w:rsidR="007C037B" w:rsidRPr="00D769B5" w:rsidRDefault="007C037B" w:rsidP="00CD5ED1">
      <w:pPr>
        <w:spacing w:before="60" w:after="60" w:line="252" w:lineRule="auto"/>
        <w:ind w:firstLine="709"/>
        <w:jc w:val="both"/>
        <w:rPr>
          <w:szCs w:val="28"/>
          <w:u w:val="single"/>
          <w:vertAlign w:val="subscript"/>
        </w:rPr>
      </w:pPr>
      <w:r w:rsidRPr="00D769B5">
        <w:rPr>
          <w:szCs w:val="28"/>
        </w:rPr>
        <w:t xml:space="preserve">Thực hiện sự phân công của Thường trực Hội đồng nhân dân; trên cơ sở Tờ trình số </w:t>
      </w:r>
      <w:r w:rsidR="00230513" w:rsidRPr="00B23F98">
        <w:rPr>
          <w:szCs w:val="28"/>
        </w:rPr>
        <w:t>143</w:t>
      </w:r>
      <w:r w:rsidRPr="00D769B5">
        <w:rPr>
          <w:szCs w:val="28"/>
        </w:rPr>
        <w:t xml:space="preserve">/TTr-UBND ngày </w:t>
      </w:r>
      <w:r w:rsidR="00230513" w:rsidRPr="00B23F98">
        <w:rPr>
          <w:szCs w:val="28"/>
        </w:rPr>
        <w:t>24</w:t>
      </w:r>
      <w:r w:rsidRPr="00D769B5">
        <w:rPr>
          <w:szCs w:val="28"/>
        </w:rPr>
        <w:t>/</w:t>
      </w:r>
      <w:r w:rsidR="00230513" w:rsidRPr="00B23F98">
        <w:rPr>
          <w:szCs w:val="28"/>
        </w:rPr>
        <w:t>11</w:t>
      </w:r>
      <w:r w:rsidRPr="00D769B5">
        <w:rPr>
          <w:szCs w:val="28"/>
        </w:rPr>
        <w:t xml:space="preserve">/2020 của Ủy ban nhân dân tỉnh về </w:t>
      </w:r>
      <w:r w:rsidR="00230513" w:rsidRPr="00B23F98">
        <w:rPr>
          <w:szCs w:val="28"/>
        </w:rPr>
        <w:t>dự thảo N</w:t>
      </w:r>
      <w:r w:rsidR="002E1918" w:rsidRPr="00D769B5">
        <w:rPr>
          <w:szCs w:val="28"/>
        </w:rPr>
        <w:t xml:space="preserve">ghị quyết phân bổ chi tiết nguồn thu tiền sử dụng đất (đợt </w:t>
      </w:r>
      <w:r w:rsidR="00230513" w:rsidRPr="00B23F98">
        <w:rPr>
          <w:szCs w:val="28"/>
        </w:rPr>
        <w:t>3</w:t>
      </w:r>
      <w:r w:rsidR="002E1918" w:rsidRPr="00D769B5">
        <w:rPr>
          <w:szCs w:val="28"/>
        </w:rPr>
        <w:t>) năm 2020</w:t>
      </w:r>
      <w:r w:rsidRPr="00D769B5">
        <w:rPr>
          <w:szCs w:val="28"/>
        </w:rPr>
        <w:t xml:space="preserve">; dự thảo </w:t>
      </w:r>
      <w:r w:rsidR="00281692" w:rsidRPr="00D769B5">
        <w:rPr>
          <w:szCs w:val="28"/>
        </w:rPr>
        <w:t>N</w:t>
      </w:r>
      <w:r w:rsidRPr="00D769B5">
        <w:rPr>
          <w:szCs w:val="28"/>
        </w:rPr>
        <w:t>ghị quyết và hồ sơ trình thẩm tra kèm theo</w:t>
      </w:r>
      <w:r w:rsidR="00281692" w:rsidRPr="00D769B5">
        <w:rPr>
          <w:szCs w:val="28"/>
        </w:rPr>
        <w:t>;</w:t>
      </w:r>
      <w:r w:rsidRPr="00D769B5">
        <w:rPr>
          <w:szCs w:val="28"/>
        </w:rPr>
        <w:t xml:space="preserve"> Ban Kinh tế - Ngân sách đã tổ chức phiên họp toàn thể thẩm tra nội dung trên. Tham dự cuộc họp có lãnh đạo các Ban của Hội đồng nhân dân tỉnh; </w:t>
      </w:r>
      <w:r w:rsidRPr="00D769B5">
        <w:rPr>
          <w:bCs/>
          <w:szCs w:val="28"/>
        </w:rPr>
        <w:t xml:space="preserve">đại diện Ủy ban nhân dân tỉnh và các sở, ngành liên quan. </w:t>
      </w:r>
      <w:r w:rsidRPr="00D769B5">
        <w:rPr>
          <w:szCs w:val="28"/>
        </w:rPr>
        <w:t>Ban Kinh tế - Ngân sách báo cáo kết quả thẩm tra như sau:</w:t>
      </w:r>
    </w:p>
    <w:p w:rsidR="002950C5" w:rsidRPr="00D769B5" w:rsidRDefault="002950C5" w:rsidP="00CD5ED1">
      <w:pPr>
        <w:spacing w:before="60" w:after="60" w:line="252" w:lineRule="auto"/>
        <w:ind w:firstLine="709"/>
        <w:jc w:val="both"/>
        <w:rPr>
          <w:b/>
          <w:spacing w:val="-4"/>
          <w:szCs w:val="28"/>
        </w:rPr>
      </w:pPr>
      <w:r w:rsidRPr="00D769B5">
        <w:rPr>
          <w:b/>
          <w:spacing w:val="-4"/>
          <w:szCs w:val="28"/>
        </w:rPr>
        <w:t>1. Cơ sở pháp lý</w:t>
      </w:r>
    </w:p>
    <w:p w:rsidR="002950C5" w:rsidRPr="00D769B5" w:rsidRDefault="002950C5" w:rsidP="00CD5ED1">
      <w:pPr>
        <w:spacing w:before="60" w:after="60" w:line="252" w:lineRule="auto"/>
        <w:ind w:firstLine="709"/>
        <w:jc w:val="both"/>
        <w:rPr>
          <w:spacing w:val="-4"/>
          <w:szCs w:val="28"/>
        </w:rPr>
      </w:pPr>
      <w:r w:rsidRPr="00D769B5">
        <w:rPr>
          <w:szCs w:val="28"/>
        </w:rPr>
        <w:t xml:space="preserve">Căn cứ </w:t>
      </w:r>
      <w:r w:rsidRPr="00B23F98">
        <w:rPr>
          <w:szCs w:val="28"/>
        </w:rPr>
        <w:t>k</w:t>
      </w:r>
      <w:r w:rsidRPr="00D769B5">
        <w:rPr>
          <w:szCs w:val="28"/>
        </w:rPr>
        <w:t xml:space="preserve">hoản 3 Điều 1 Nghị quyết </w:t>
      </w:r>
      <w:r w:rsidR="00E44724" w:rsidRPr="00B23F98">
        <w:rPr>
          <w:szCs w:val="28"/>
        </w:rPr>
        <w:t>49</w:t>
      </w:r>
      <w:r w:rsidRPr="00D769B5">
        <w:rPr>
          <w:szCs w:val="28"/>
        </w:rPr>
        <w:t>/201</w:t>
      </w:r>
      <w:r w:rsidR="00E44724" w:rsidRPr="00B23F98">
        <w:rPr>
          <w:szCs w:val="28"/>
        </w:rPr>
        <w:t>9</w:t>
      </w:r>
      <w:r w:rsidRPr="00D769B5">
        <w:rPr>
          <w:szCs w:val="28"/>
        </w:rPr>
        <w:t>/NQ-HĐND ngày 0</w:t>
      </w:r>
      <w:r w:rsidR="00E44724" w:rsidRPr="00B23F98">
        <w:rPr>
          <w:szCs w:val="28"/>
        </w:rPr>
        <w:t>9</w:t>
      </w:r>
      <w:r w:rsidRPr="00D769B5">
        <w:rPr>
          <w:szCs w:val="28"/>
        </w:rPr>
        <w:t>/12/201</w:t>
      </w:r>
      <w:r w:rsidR="00E44724" w:rsidRPr="00B23F98">
        <w:rPr>
          <w:szCs w:val="28"/>
        </w:rPr>
        <w:t>9</w:t>
      </w:r>
      <w:r w:rsidRPr="00D769B5">
        <w:rPr>
          <w:szCs w:val="28"/>
        </w:rPr>
        <w:t xml:space="preserve"> của Hội đồng nhân dân tỉnh về phê duyệt Kế hoạch đầu tư nguồn ngân sách nhà nước năm 20</w:t>
      </w:r>
      <w:r w:rsidR="00E44724" w:rsidRPr="00B23F98">
        <w:rPr>
          <w:szCs w:val="28"/>
        </w:rPr>
        <w:t>20</w:t>
      </w:r>
      <w:r w:rsidRPr="00D769B5">
        <w:rPr>
          <w:szCs w:val="28"/>
        </w:rPr>
        <w:t xml:space="preserve"> tỉnh Kon Tum</w:t>
      </w:r>
      <w:r w:rsidR="00230513" w:rsidRPr="00B23F98">
        <w:rPr>
          <w:szCs w:val="28"/>
          <w:vertAlign w:val="superscript"/>
        </w:rPr>
        <w:t>(</w:t>
      </w:r>
      <w:r w:rsidR="00230513">
        <w:rPr>
          <w:rStyle w:val="FootnoteReference"/>
          <w:szCs w:val="28"/>
        </w:rPr>
        <w:footnoteReference w:id="1"/>
      </w:r>
      <w:r w:rsidR="00230513" w:rsidRPr="00B23F98">
        <w:rPr>
          <w:szCs w:val="28"/>
          <w:vertAlign w:val="superscript"/>
        </w:rPr>
        <w:t>)</w:t>
      </w:r>
      <w:r w:rsidR="00230513" w:rsidRPr="00B23F98">
        <w:rPr>
          <w:szCs w:val="28"/>
        </w:rPr>
        <w:t>,</w:t>
      </w:r>
      <w:r w:rsidRPr="00D769B5">
        <w:rPr>
          <w:spacing w:val="-4"/>
          <w:szCs w:val="28"/>
        </w:rPr>
        <w:t xml:space="preserve"> Ủy ban nhân dân tỉnh trình Thường trực Hội đồng nhân dân tỉnh </w:t>
      </w:r>
      <w:r w:rsidRPr="00D769B5">
        <w:rPr>
          <w:szCs w:val="28"/>
        </w:rPr>
        <w:t>phân bổ</w:t>
      </w:r>
      <w:r w:rsidRPr="00D769B5">
        <w:rPr>
          <w:szCs w:val="28"/>
          <w:lang w:val="nl-NL"/>
        </w:rPr>
        <w:t xml:space="preserve"> </w:t>
      </w:r>
      <w:r w:rsidR="00821822" w:rsidRPr="00D769B5">
        <w:rPr>
          <w:szCs w:val="28"/>
        </w:rPr>
        <w:t xml:space="preserve">chi tiết nguồn thu tiền sử dụng đất từ </w:t>
      </w:r>
      <w:r w:rsidR="00230513" w:rsidRPr="00B23F98">
        <w:rPr>
          <w:szCs w:val="28"/>
        </w:rPr>
        <w:t>d</w:t>
      </w:r>
      <w:r w:rsidR="00230513" w:rsidRPr="0028671A">
        <w:rPr>
          <w:color w:val="000000"/>
          <w:lang w:val="nl-NL"/>
        </w:rPr>
        <w:t xml:space="preserve">ự án </w:t>
      </w:r>
      <w:r w:rsidR="00230513">
        <w:rPr>
          <w:color w:val="000000"/>
          <w:lang w:val="nl-NL"/>
        </w:rPr>
        <w:t>T</w:t>
      </w:r>
      <w:r w:rsidR="00230513" w:rsidRPr="0028671A">
        <w:rPr>
          <w:color w:val="000000"/>
          <w:lang w:val="nl-NL"/>
        </w:rPr>
        <w:t xml:space="preserve">ổ hợp thương mại, dịch vụ vui chơi giải trí và nhà phố (FLC) </w:t>
      </w:r>
      <w:r w:rsidRPr="00D769B5">
        <w:rPr>
          <w:spacing w:val="-4"/>
          <w:szCs w:val="28"/>
        </w:rPr>
        <w:t>là đúng thẩm quyền theo quy định.</w:t>
      </w:r>
    </w:p>
    <w:p w:rsidR="002950C5" w:rsidRPr="00B23F98" w:rsidRDefault="002950C5" w:rsidP="00CD5ED1">
      <w:pPr>
        <w:spacing w:before="60" w:after="60" w:line="252" w:lineRule="auto"/>
        <w:ind w:firstLine="709"/>
        <w:jc w:val="both"/>
        <w:rPr>
          <w:b/>
          <w:spacing w:val="-4"/>
          <w:szCs w:val="28"/>
        </w:rPr>
      </w:pPr>
      <w:r w:rsidRPr="00D769B5">
        <w:rPr>
          <w:b/>
          <w:spacing w:val="-4"/>
          <w:szCs w:val="28"/>
        </w:rPr>
        <w:t>2. Nội dung</w:t>
      </w:r>
      <w:r w:rsidR="00230513" w:rsidRPr="00B23F98">
        <w:rPr>
          <w:b/>
          <w:spacing w:val="-4"/>
          <w:szCs w:val="28"/>
        </w:rPr>
        <w:t xml:space="preserve"> dự thảo Nghị quyết</w:t>
      </w:r>
    </w:p>
    <w:p w:rsidR="00230513" w:rsidRDefault="00681122" w:rsidP="00230513">
      <w:pPr>
        <w:spacing w:after="120"/>
        <w:ind w:firstLine="567"/>
        <w:jc w:val="both"/>
        <w:rPr>
          <w:color w:val="000000"/>
          <w:lang w:val="nl-NL"/>
        </w:rPr>
      </w:pPr>
      <w:r w:rsidRPr="00B23F98">
        <w:rPr>
          <w:spacing w:val="-4"/>
          <w:szCs w:val="28"/>
        </w:rPr>
        <w:t xml:space="preserve">Theo báo cáo của </w:t>
      </w:r>
      <w:r w:rsidR="00A43FD7" w:rsidRPr="00D769B5">
        <w:rPr>
          <w:spacing w:val="-4"/>
          <w:szCs w:val="28"/>
        </w:rPr>
        <w:t>Ủy ban nhân dân</w:t>
      </w:r>
      <w:r w:rsidR="00A43FD7" w:rsidRPr="00B23F98">
        <w:rPr>
          <w:spacing w:val="-4"/>
          <w:szCs w:val="28"/>
        </w:rPr>
        <w:t xml:space="preserve"> </w:t>
      </w:r>
      <w:r w:rsidRPr="00B23F98">
        <w:rPr>
          <w:spacing w:val="-4"/>
          <w:szCs w:val="28"/>
        </w:rPr>
        <w:t xml:space="preserve">tỉnh, </w:t>
      </w:r>
      <w:r w:rsidR="00230513" w:rsidRPr="00B23F98">
        <w:rPr>
          <w:spacing w:val="-4"/>
          <w:szCs w:val="28"/>
        </w:rPr>
        <w:t>s</w:t>
      </w:r>
      <w:r w:rsidR="00230513" w:rsidRPr="0028671A">
        <w:rPr>
          <w:color w:val="000000"/>
          <w:lang w:val="nl-NL"/>
        </w:rPr>
        <w:t>ố thu tiền đấu giá quyền sử dụng đất và tài sản gắn liền với đất từ</w:t>
      </w:r>
      <w:r w:rsidR="00230513">
        <w:rPr>
          <w:color w:val="000000"/>
          <w:lang w:val="nl-NL"/>
        </w:rPr>
        <w:t xml:space="preserve"> d</w:t>
      </w:r>
      <w:r w:rsidR="00230513" w:rsidRPr="0028671A">
        <w:rPr>
          <w:color w:val="000000"/>
          <w:lang w:val="nl-NL"/>
        </w:rPr>
        <w:t xml:space="preserve">ự án </w:t>
      </w:r>
      <w:r w:rsidR="00230513">
        <w:rPr>
          <w:color w:val="000000"/>
          <w:lang w:val="nl-NL"/>
        </w:rPr>
        <w:t>T</w:t>
      </w:r>
      <w:r w:rsidR="00230513" w:rsidRPr="0028671A">
        <w:rPr>
          <w:color w:val="000000"/>
          <w:lang w:val="nl-NL"/>
        </w:rPr>
        <w:t>ổ hợp thương mại, dịch vụ vui chơi giải trí và nhà phố (FLC) đã nộp ngân sách tỉnh đến tháng 9 năm 2020 là 204.616 triệu đồng, trong đó: tiền sử dụng đất 187.837,112 triệu đồ</w:t>
      </w:r>
      <w:r w:rsidR="00230513">
        <w:rPr>
          <w:color w:val="000000"/>
          <w:lang w:val="nl-NL"/>
        </w:rPr>
        <w:t>ng;</w:t>
      </w:r>
      <w:r w:rsidR="00230513" w:rsidRPr="0028671A">
        <w:rPr>
          <w:color w:val="000000"/>
          <w:lang w:val="nl-NL"/>
        </w:rPr>
        <w:t xml:space="preserve"> tiền thuê đất 16.094,127 triệu đồ</w:t>
      </w:r>
      <w:r w:rsidR="00230513">
        <w:rPr>
          <w:color w:val="000000"/>
          <w:lang w:val="nl-NL"/>
        </w:rPr>
        <w:t>ng;</w:t>
      </w:r>
      <w:r w:rsidR="00230513" w:rsidRPr="0028671A">
        <w:rPr>
          <w:color w:val="000000"/>
          <w:lang w:val="nl-NL"/>
        </w:rPr>
        <w:t xml:space="preserve"> tiền bán tài sản trên đất 684,837 triệu đồng. Hiện nay, các nguồn thu này chưa được Hội đồng nhân dân tỉnh phân bổ chi tiết cho các dự án để triển khai thực hiện.</w:t>
      </w:r>
    </w:p>
    <w:p w:rsidR="00230513" w:rsidRPr="0028671A" w:rsidRDefault="00230513" w:rsidP="00230513">
      <w:pPr>
        <w:spacing w:after="120"/>
        <w:ind w:firstLine="567"/>
        <w:jc w:val="both"/>
        <w:rPr>
          <w:color w:val="000000"/>
          <w:lang w:val="nl-NL"/>
        </w:rPr>
      </w:pPr>
      <w:r w:rsidRPr="0028671A">
        <w:rPr>
          <w:color w:val="000000"/>
          <w:lang w:val="nl-NL"/>
        </w:rPr>
        <w:t>- Đối với tiền thuê đất và tiền bán tài sản trên đất: Vì các nguồn thu này phải thực hiện trích tạo nguồn cải cách tiền lương</w:t>
      </w:r>
      <w:r w:rsidRPr="0028671A">
        <w:rPr>
          <w:color w:val="000000"/>
          <w:vertAlign w:val="superscript"/>
          <w:lang w:val="nl-NL"/>
        </w:rPr>
        <w:t>(</w:t>
      </w:r>
      <w:r w:rsidRPr="0028671A">
        <w:rPr>
          <w:color w:val="000000"/>
          <w:vertAlign w:val="superscript"/>
          <w:lang w:val="nl-NL"/>
        </w:rPr>
        <w:footnoteReference w:id="2"/>
      </w:r>
      <w:r w:rsidRPr="0028671A">
        <w:rPr>
          <w:color w:val="000000"/>
          <w:vertAlign w:val="superscript"/>
          <w:lang w:val="nl-NL"/>
        </w:rPr>
        <w:t>)</w:t>
      </w:r>
      <w:r w:rsidRPr="0028671A">
        <w:rPr>
          <w:color w:val="000000"/>
          <w:lang w:val="nl-NL"/>
        </w:rPr>
        <w:t xml:space="preserve"> nên sau khi có ý kiến của Bộ Tài </w:t>
      </w:r>
      <w:r w:rsidRPr="0028671A">
        <w:rPr>
          <w:color w:val="000000"/>
          <w:lang w:val="nl-NL"/>
        </w:rPr>
        <w:lastRenderedPageBreak/>
        <w:t xml:space="preserve">chính, Ủy ban nhân dân tỉnh </w:t>
      </w:r>
      <w:r>
        <w:rPr>
          <w:color w:val="000000"/>
          <w:lang w:val="nl-NL"/>
        </w:rPr>
        <w:t xml:space="preserve">sẽ </w:t>
      </w:r>
      <w:r w:rsidRPr="0028671A">
        <w:rPr>
          <w:color w:val="000000"/>
          <w:lang w:val="nl-NL"/>
        </w:rPr>
        <w:t>trình cấp có thẩm quyền phân bổ số thu này theo quy định.</w:t>
      </w:r>
    </w:p>
    <w:p w:rsidR="00230513" w:rsidRDefault="00230513" w:rsidP="00230513">
      <w:pPr>
        <w:spacing w:after="120"/>
        <w:ind w:firstLine="567"/>
        <w:jc w:val="both"/>
        <w:rPr>
          <w:color w:val="000000"/>
          <w:lang w:val="nl-NL"/>
        </w:rPr>
      </w:pPr>
      <w:r w:rsidRPr="0028671A">
        <w:rPr>
          <w:color w:val="000000"/>
          <w:lang w:val="nl-NL"/>
        </w:rPr>
        <w:t xml:space="preserve">- Đối với tiền sử dụng đất: </w:t>
      </w:r>
      <w:r w:rsidR="002408D3">
        <w:rPr>
          <w:color w:val="000000"/>
          <w:lang w:val="nl-NL"/>
        </w:rPr>
        <w:t>Căn cứ</w:t>
      </w:r>
      <w:r w:rsidRPr="0028671A">
        <w:rPr>
          <w:color w:val="000000"/>
          <w:lang w:val="nl-NL"/>
        </w:rPr>
        <w:t xml:space="preserve"> </w:t>
      </w:r>
      <w:r w:rsidRPr="0028671A">
        <w:rPr>
          <w:color w:val="000000"/>
        </w:rPr>
        <w:t>N</w:t>
      </w:r>
      <w:r>
        <w:rPr>
          <w:color w:val="000000"/>
        </w:rPr>
        <w:t xml:space="preserve">ghị quyết số 49/NQ-HĐND ngày 09 tháng </w:t>
      </w:r>
      <w:r w:rsidRPr="0028671A">
        <w:rPr>
          <w:color w:val="000000"/>
        </w:rPr>
        <w:t>1</w:t>
      </w:r>
      <w:r>
        <w:rPr>
          <w:color w:val="000000"/>
        </w:rPr>
        <w:t xml:space="preserve">2 năm </w:t>
      </w:r>
      <w:r w:rsidRPr="0028671A">
        <w:rPr>
          <w:color w:val="000000"/>
        </w:rPr>
        <w:t>2019</w:t>
      </w:r>
      <w:r w:rsidR="002408D3" w:rsidRPr="00B23F98">
        <w:rPr>
          <w:color w:val="000000"/>
          <w:lang w:val="nl-NL"/>
        </w:rPr>
        <w:t>,</w:t>
      </w:r>
      <w:r w:rsidR="002408D3">
        <w:rPr>
          <w:color w:val="000000"/>
          <w:lang w:val="nl-NL"/>
        </w:rPr>
        <w:t xml:space="preserve"> Nghị quyết </w:t>
      </w:r>
      <w:r>
        <w:rPr>
          <w:color w:val="000000"/>
          <w:lang w:val="nl-NL"/>
        </w:rPr>
        <w:t xml:space="preserve">số 67/2016/NQ-HĐND ngày 09 tháng 12 năm </w:t>
      </w:r>
      <w:r w:rsidRPr="0028671A">
        <w:rPr>
          <w:color w:val="000000"/>
          <w:lang w:val="nl-NL"/>
        </w:rPr>
        <w:t>201</w:t>
      </w:r>
      <w:r>
        <w:rPr>
          <w:color w:val="000000"/>
          <w:lang w:val="nl-NL"/>
        </w:rPr>
        <w:t xml:space="preserve">6 và số 12/2018/NQ-HĐND ngày 19 tháng 7 năm </w:t>
      </w:r>
      <w:r w:rsidRPr="0028671A">
        <w:rPr>
          <w:color w:val="000000"/>
          <w:lang w:val="nl-NL"/>
        </w:rPr>
        <w:t>2018</w:t>
      </w:r>
      <w:r w:rsidR="002408D3">
        <w:rPr>
          <w:color w:val="000000"/>
          <w:lang w:val="nl-NL"/>
        </w:rPr>
        <w:t>,</w:t>
      </w:r>
      <w:r w:rsidRPr="0028671A">
        <w:rPr>
          <w:color w:val="000000"/>
          <w:lang w:val="nl-NL"/>
        </w:rPr>
        <w:t xml:space="preserve"> để các đơn vị có cơ sở triển khai thực hiện và giải ngân nguồn vốn, Ủy ban nhân dân tỉnh trình Hội đồng nhân dân tỉnh phân bổ 187.837,112 triệu đồng nguồn thu tiền sử dụng đất (đợt 3) năm 2020</w:t>
      </w:r>
      <w:r w:rsidR="002408D3">
        <w:rPr>
          <w:color w:val="000000"/>
          <w:lang w:val="nl-NL"/>
        </w:rPr>
        <w:t>, cụ thể như sau:</w:t>
      </w:r>
    </w:p>
    <w:p w:rsidR="00230513" w:rsidRPr="005711C5" w:rsidRDefault="00230513" w:rsidP="00230513">
      <w:pPr>
        <w:spacing w:after="120"/>
        <w:ind w:firstLine="567"/>
        <w:jc w:val="both"/>
        <w:rPr>
          <w:color w:val="000000"/>
          <w:lang w:val="nl-NL"/>
        </w:rPr>
      </w:pPr>
      <w:r w:rsidRPr="005711C5">
        <w:rPr>
          <w:color w:val="000000"/>
          <w:lang w:val="nl-NL"/>
        </w:rPr>
        <w:t>- Trích nộp quỹ phát triển đất tỉnh và chi phí quản lý đất đai theo Nghị quyết của Hội đồng nhân dân tỉnh (12%): 22.540,453 triệu đồng.</w:t>
      </w:r>
    </w:p>
    <w:p w:rsidR="00230513" w:rsidRPr="005711C5" w:rsidRDefault="00230513" w:rsidP="00230513">
      <w:pPr>
        <w:spacing w:after="120"/>
        <w:ind w:firstLine="567"/>
        <w:jc w:val="both"/>
        <w:rPr>
          <w:color w:val="000000"/>
          <w:lang w:val="nl-NL"/>
        </w:rPr>
      </w:pPr>
      <w:r w:rsidRPr="005711C5">
        <w:rPr>
          <w:color w:val="000000"/>
          <w:lang w:val="nl-NL"/>
        </w:rPr>
        <w:t>- Phân bổ cho dự án Đường vào thôn 8, xã Đăk Tơ Lung, huyện Kon Rẫy 10.000 triệu đồng, trong đó: thu hồi vốn ứng trước ngân sách tỉnh 10.000 triệu đồng</w:t>
      </w:r>
      <w:r w:rsidRPr="005711C5">
        <w:rPr>
          <w:color w:val="000000"/>
          <w:vertAlign w:val="superscript"/>
          <w:lang w:val="nl-NL"/>
        </w:rPr>
        <w:t>(</w:t>
      </w:r>
      <w:r w:rsidRPr="005711C5">
        <w:rPr>
          <w:color w:val="000000"/>
          <w:vertAlign w:val="superscript"/>
          <w:lang w:val="nl-NL"/>
        </w:rPr>
        <w:footnoteReference w:id="3"/>
      </w:r>
      <w:r w:rsidRPr="005711C5">
        <w:rPr>
          <w:color w:val="000000"/>
          <w:vertAlign w:val="superscript"/>
          <w:lang w:val="nl-NL"/>
        </w:rPr>
        <w:t>)</w:t>
      </w:r>
      <w:r w:rsidRPr="005711C5">
        <w:rPr>
          <w:color w:val="000000"/>
          <w:lang w:val="nl-NL"/>
        </w:rPr>
        <w:t>.</w:t>
      </w:r>
    </w:p>
    <w:p w:rsidR="00230513" w:rsidRPr="005711C5" w:rsidRDefault="00230513" w:rsidP="00230513">
      <w:pPr>
        <w:spacing w:after="120"/>
        <w:ind w:firstLine="567"/>
        <w:jc w:val="both"/>
        <w:rPr>
          <w:color w:val="000000"/>
          <w:lang w:val="nl-NL"/>
        </w:rPr>
      </w:pPr>
      <w:r w:rsidRPr="005711C5">
        <w:rPr>
          <w:color w:val="000000"/>
          <w:lang w:val="nl-NL"/>
        </w:rPr>
        <w:t>- Phân bổ cho dự án Đường Nguyễn Hữu Cầu nối dài (</w:t>
      </w:r>
      <w:r w:rsidRPr="005711C5">
        <w:rPr>
          <w:i/>
          <w:iCs/>
          <w:color w:val="000000"/>
          <w:lang w:val="nl-NL"/>
        </w:rPr>
        <w:t>đoạn Trần Nhân Tông - Trường Chinh</w:t>
      </w:r>
      <w:r w:rsidRPr="005711C5">
        <w:rPr>
          <w:color w:val="000000"/>
          <w:lang w:val="nl-NL"/>
        </w:rPr>
        <w:t>) 23.700 triệu đồng, trong đó: thu hồi vốn ứng trước ngân sách tỉnh 5.000 triệu đồng</w:t>
      </w:r>
      <w:r w:rsidRPr="005711C5">
        <w:rPr>
          <w:color w:val="000000"/>
          <w:vertAlign w:val="superscript"/>
          <w:lang w:val="nl-NL"/>
        </w:rPr>
        <w:t>(</w:t>
      </w:r>
      <w:r w:rsidRPr="005711C5">
        <w:rPr>
          <w:color w:val="000000"/>
          <w:vertAlign w:val="superscript"/>
          <w:lang w:val="nl-NL"/>
        </w:rPr>
        <w:footnoteReference w:id="4"/>
      </w:r>
      <w:r w:rsidRPr="005711C5">
        <w:rPr>
          <w:color w:val="000000"/>
          <w:vertAlign w:val="superscript"/>
          <w:lang w:val="nl-NL"/>
        </w:rPr>
        <w:t>)</w:t>
      </w:r>
      <w:r w:rsidRPr="005711C5">
        <w:rPr>
          <w:color w:val="000000"/>
          <w:lang w:val="nl-NL"/>
        </w:rPr>
        <w:t>.</w:t>
      </w:r>
    </w:p>
    <w:p w:rsidR="00230513" w:rsidRPr="005711C5" w:rsidRDefault="00230513" w:rsidP="00230513">
      <w:pPr>
        <w:spacing w:after="120"/>
        <w:ind w:firstLine="567"/>
        <w:jc w:val="both"/>
        <w:rPr>
          <w:color w:val="000000"/>
          <w:lang w:val="nl-NL"/>
        </w:rPr>
      </w:pPr>
      <w:r w:rsidRPr="005711C5">
        <w:rPr>
          <w:color w:val="000000"/>
          <w:lang w:val="nl-NL"/>
        </w:rPr>
        <w:t>- Phân bổ cho dự án Nhà ở xã hội - Nhà ở tái định cư 17.140,41 triệu đồng</w:t>
      </w:r>
      <w:r w:rsidRPr="005711C5">
        <w:rPr>
          <w:color w:val="000000"/>
          <w:vertAlign w:val="superscript"/>
          <w:lang w:val="nl-NL"/>
        </w:rPr>
        <w:t>(</w:t>
      </w:r>
      <w:r w:rsidRPr="005711C5">
        <w:rPr>
          <w:color w:val="000000"/>
          <w:vertAlign w:val="superscript"/>
          <w:lang w:val="nl-NL"/>
        </w:rPr>
        <w:footnoteReference w:id="5"/>
      </w:r>
      <w:r w:rsidRPr="005711C5">
        <w:rPr>
          <w:color w:val="000000"/>
          <w:vertAlign w:val="superscript"/>
          <w:lang w:val="nl-NL"/>
        </w:rPr>
        <w:t>)</w:t>
      </w:r>
      <w:r w:rsidRPr="005711C5">
        <w:rPr>
          <w:color w:val="000000"/>
          <w:lang w:val="nl-NL"/>
        </w:rPr>
        <w:t>.</w:t>
      </w:r>
    </w:p>
    <w:p w:rsidR="00230513" w:rsidRPr="005711C5" w:rsidRDefault="00230513" w:rsidP="00230513">
      <w:pPr>
        <w:spacing w:after="120"/>
        <w:ind w:firstLine="567"/>
        <w:jc w:val="both"/>
        <w:rPr>
          <w:color w:val="000000"/>
          <w:lang w:val="nl-NL"/>
        </w:rPr>
      </w:pPr>
      <w:r w:rsidRPr="005711C5">
        <w:rPr>
          <w:color w:val="000000"/>
          <w:lang w:val="nl-NL"/>
        </w:rPr>
        <w:t>- Phân bổ cho dự án Đường Trường Chinh (</w:t>
      </w:r>
      <w:r w:rsidRPr="005711C5">
        <w:rPr>
          <w:i/>
          <w:iCs/>
          <w:color w:val="000000"/>
          <w:lang w:val="nl-NL"/>
        </w:rPr>
        <w:t>đoạn từ đường Phan Đình Phùng đến đường Đào Duy Từ - phạm vi cầu nối qua sông Đăk Bla</w:t>
      </w:r>
      <w:r w:rsidRPr="005711C5">
        <w:rPr>
          <w:color w:val="000000"/>
          <w:lang w:val="nl-NL"/>
        </w:rPr>
        <w:t>) 50.000 triệu đồng</w:t>
      </w:r>
      <w:r w:rsidRPr="005711C5">
        <w:rPr>
          <w:color w:val="000000"/>
          <w:vertAlign w:val="superscript"/>
          <w:lang w:val="nl-NL"/>
        </w:rPr>
        <w:t>(</w:t>
      </w:r>
      <w:r w:rsidRPr="005711C5">
        <w:rPr>
          <w:color w:val="000000"/>
          <w:vertAlign w:val="superscript"/>
          <w:lang w:val="nl-NL"/>
        </w:rPr>
        <w:footnoteReference w:id="6"/>
      </w:r>
      <w:r w:rsidRPr="005711C5">
        <w:rPr>
          <w:color w:val="000000"/>
          <w:vertAlign w:val="superscript"/>
          <w:lang w:val="nl-NL"/>
        </w:rPr>
        <w:t>)</w:t>
      </w:r>
      <w:r w:rsidRPr="005711C5">
        <w:rPr>
          <w:color w:val="000000"/>
          <w:lang w:val="nl-NL"/>
        </w:rPr>
        <w:t>.</w:t>
      </w:r>
    </w:p>
    <w:p w:rsidR="00230513" w:rsidRPr="005711C5" w:rsidRDefault="00230513" w:rsidP="00230513">
      <w:pPr>
        <w:spacing w:after="120"/>
        <w:ind w:firstLine="567"/>
        <w:jc w:val="both"/>
        <w:rPr>
          <w:color w:val="000000"/>
          <w:lang w:val="nl-NL"/>
        </w:rPr>
      </w:pPr>
      <w:r w:rsidRPr="005711C5">
        <w:rPr>
          <w:color w:val="000000"/>
          <w:lang w:val="nl-NL"/>
        </w:rPr>
        <w:t xml:space="preserve">- Phân bổ cho dự án </w:t>
      </w:r>
      <w:r w:rsidRPr="005711C5">
        <w:rPr>
          <w:rFonts w:hint="eastAsia"/>
          <w:color w:val="000000"/>
          <w:lang w:val="nl-NL"/>
        </w:rPr>
        <w:t>Đư</w:t>
      </w:r>
      <w:r w:rsidRPr="005711C5">
        <w:rPr>
          <w:color w:val="000000"/>
          <w:lang w:val="nl-NL"/>
        </w:rPr>
        <w:t xml:space="preserve">ờng dẫn vào cầu số 01 qua sông </w:t>
      </w:r>
      <w:r w:rsidRPr="005711C5">
        <w:rPr>
          <w:rFonts w:hint="eastAsia"/>
          <w:color w:val="000000"/>
          <w:lang w:val="nl-NL"/>
        </w:rPr>
        <w:t>Đă</w:t>
      </w:r>
      <w:r w:rsidRPr="005711C5">
        <w:rPr>
          <w:color w:val="000000"/>
          <w:lang w:val="nl-NL"/>
        </w:rPr>
        <w:t xml:space="preserve">k Bla gắn với chỉnh trang </w:t>
      </w:r>
      <w:r w:rsidRPr="005711C5">
        <w:rPr>
          <w:rFonts w:hint="eastAsia"/>
          <w:color w:val="000000"/>
          <w:lang w:val="nl-NL"/>
        </w:rPr>
        <w:t>đô</w:t>
      </w:r>
      <w:r w:rsidRPr="005711C5">
        <w:rPr>
          <w:color w:val="000000"/>
          <w:lang w:val="nl-NL"/>
        </w:rPr>
        <w:t xml:space="preserve"> thị 27.000 triệu đồng</w:t>
      </w:r>
      <w:r w:rsidRPr="005711C5">
        <w:rPr>
          <w:color w:val="000000"/>
          <w:vertAlign w:val="superscript"/>
          <w:lang w:val="nl-NL"/>
        </w:rPr>
        <w:t>(</w:t>
      </w:r>
      <w:r w:rsidRPr="005711C5">
        <w:rPr>
          <w:color w:val="000000"/>
          <w:vertAlign w:val="superscript"/>
          <w:lang w:val="nl-NL"/>
        </w:rPr>
        <w:footnoteReference w:id="7"/>
      </w:r>
      <w:r w:rsidRPr="005711C5">
        <w:rPr>
          <w:color w:val="000000"/>
          <w:vertAlign w:val="superscript"/>
          <w:lang w:val="nl-NL"/>
        </w:rPr>
        <w:t>)</w:t>
      </w:r>
      <w:r w:rsidRPr="005711C5">
        <w:rPr>
          <w:color w:val="000000"/>
          <w:lang w:val="nl-NL"/>
        </w:rPr>
        <w:t>.</w:t>
      </w:r>
    </w:p>
    <w:p w:rsidR="00230513" w:rsidRPr="005711C5" w:rsidRDefault="00230513" w:rsidP="00230513">
      <w:pPr>
        <w:spacing w:after="120"/>
        <w:ind w:firstLine="567"/>
        <w:jc w:val="both"/>
        <w:rPr>
          <w:color w:val="000000"/>
          <w:lang w:val="nl-NL"/>
        </w:rPr>
      </w:pPr>
      <w:r w:rsidRPr="005711C5">
        <w:rPr>
          <w:color w:val="000000"/>
          <w:lang w:val="nl-NL"/>
        </w:rPr>
        <w:t xml:space="preserve">- Phân bổ cho dự án </w:t>
      </w:r>
      <w:r w:rsidRPr="005711C5">
        <w:rPr>
          <w:rFonts w:hint="eastAsia"/>
          <w:color w:val="000000"/>
          <w:lang w:val="nl-NL"/>
        </w:rPr>
        <w:t>Đư</w:t>
      </w:r>
      <w:r w:rsidRPr="005711C5">
        <w:rPr>
          <w:color w:val="000000"/>
          <w:lang w:val="nl-NL"/>
        </w:rPr>
        <w:t xml:space="preserve">ờng dẫn vào cầu số 03 qua sông </w:t>
      </w:r>
      <w:r w:rsidRPr="005711C5">
        <w:rPr>
          <w:rFonts w:hint="eastAsia"/>
          <w:color w:val="000000"/>
          <w:lang w:val="nl-NL"/>
        </w:rPr>
        <w:t>Đă</w:t>
      </w:r>
      <w:r w:rsidRPr="005711C5">
        <w:rPr>
          <w:color w:val="000000"/>
          <w:lang w:val="nl-NL"/>
        </w:rPr>
        <w:t xml:space="preserve">k Bla gắn với chỉnh trang </w:t>
      </w:r>
      <w:r w:rsidRPr="005711C5">
        <w:rPr>
          <w:rFonts w:hint="eastAsia"/>
          <w:color w:val="000000"/>
          <w:lang w:val="nl-NL"/>
        </w:rPr>
        <w:t>đô</w:t>
      </w:r>
      <w:r w:rsidRPr="005711C5">
        <w:rPr>
          <w:color w:val="000000"/>
          <w:lang w:val="nl-NL"/>
        </w:rPr>
        <w:t xml:space="preserve"> thị 30.000 triệu đồng</w:t>
      </w:r>
      <w:r w:rsidRPr="005711C5">
        <w:rPr>
          <w:color w:val="000000"/>
          <w:vertAlign w:val="superscript"/>
          <w:lang w:val="nl-NL"/>
        </w:rPr>
        <w:t>(</w:t>
      </w:r>
      <w:r w:rsidRPr="005711C5">
        <w:rPr>
          <w:color w:val="000000"/>
          <w:vertAlign w:val="superscript"/>
          <w:lang w:val="nl-NL"/>
        </w:rPr>
        <w:footnoteReference w:id="8"/>
      </w:r>
      <w:r w:rsidRPr="005711C5">
        <w:rPr>
          <w:color w:val="000000"/>
          <w:vertAlign w:val="superscript"/>
          <w:lang w:val="nl-NL"/>
        </w:rPr>
        <w:t>)</w:t>
      </w:r>
      <w:r w:rsidRPr="005711C5">
        <w:rPr>
          <w:color w:val="000000"/>
          <w:lang w:val="nl-NL"/>
        </w:rPr>
        <w:t>.</w:t>
      </w:r>
    </w:p>
    <w:p w:rsidR="002408D3" w:rsidRPr="00B23F98" w:rsidRDefault="00230513" w:rsidP="00230513">
      <w:pPr>
        <w:spacing w:after="120"/>
        <w:ind w:firstLine="567"/>
        <w:jc w:val="both"/>
        <w:rPr>
          <w:color w:val="000000"/>
          <w:lang w:val="nl-NL"/>
        </w:rPr>
      </w:pPr>
      <w:r w:rsidRPr="005711C5">
        <w:rPr>
          <w:color w:val="000000"/>
          <w:lang w:val="nl-NL"/>
        </w:rPr>
        <w:lastRenderedPageBreak/>
        <w:t>- Phân bổ cho dự án Trụ sở làm việc của các Sở, ban ngành thuộc khối văn hóa xã hội 7.456,249 triệu đồng</w:t>
      </w:r>
      <w:r w:rsidRPr="005711C5">
        <w:rPr>
          <w:color w:val="000000"/>
          <w:vertAlign w:val="superscript"/>
          <w:lang w:val="nl-NL"/>
        </w:rPr>
        <w:t>(</w:t>
      </w:r>
      <w:r w:rsidRPr="005711C5">
        <w:rPr>
          <w:color w:val="000000"/>
          <w:vertAlign w:val="superscript"/>
          <w:lang w:val="nl-NL"/>
        </w:rPr>
        <w:footnoteReference w:id="9"/>
      </w:r>
      <w:r w:rsidRPr="005711C5">
        <w:rPr>
          <w:color w:val="000000"/>
          <w:vertAlign w:val="superscript"/>
          <w:lang w:val="nl-NL"/>
        </w:rPr>
        <w:t>)</w:t>
      </w:r>
      <w:r w:rsidRPr="005711C5">
        <w:rPr>
          <w:color w:val="000000"/>
          <w:lang w:val="nl-NL"/>
        </w:rPr>
        <w:t>.</w:t>
      </w:r>
      <w:r w:rsidRPr="00BC4055">
        <w:rPr>
          <w:color w:val="000000"/>
        </w:rPr>
        <w:t xml:space="preserve"> </w:t>
      </w:r>
    </w:p>
    <w:p w:rsidR="00230513" w:rsidRPr="00B23F98" w:rsidRDefault="002408D3" w:rsidP="002408D3">
      <w:pPr>
        <w:spacing w:after="120"/>
        <w:jc w:val="center"/>
        <w:rPr>
          <w:color w:val="000000"/>
          <w:lang w:val="nl-NL"/>
        </w:rPr>
      </w:pPr>
      <w:r w:rsidRPr="00B23F98">
        <w:rPr>
          <w:color w:val="000000"/>
          <w:lang w:val="nl-NL"/>
        </w:rPr>
        <w:t>(</w:t>
      </w:r>
      <w:r w:rsidRPr="00B23F98">
        <w:rPr>
          <w:i/>
          <w:color w:val="000000"/>
          <w:lang w:val="nl-NL"/>
        </w:rPr>
        <w:t>chi tiết tại Phụ lục kèm theo dự thảo Nghị quyết</w:t>
      </w:r>
      <w:r w:rsidRPr="00B23F98">
        <w:rPr>
          <w:color w:val="000000"/>
          <w:lang w:val="nl-NL"/>
        </w:rPr>
        <w:t>)</w:t>
      </w:r>
    </w:p>
    <w:p w:rsidR="00681122" w:rsidRPr="00D769B5" w:rsidRDefault="00681122" w:rsidP="00230513">
      <w:pPr>
        <w:spacing w:before="60" w:after="60" w:line="252" w:lineRule="auto"/>
        <w:ind w:firstLine="709"/>
        <w:jc w:val="both"/>
        <w:rPr>
          <w:b/>
          <w:spacing w:val="-4"/>
          <w:szCs w:val="28"/>
        </w:rPr>
      </w:pPr>
      <w:r w:rsidRPr="00D769B5">
        <w:rPr>
          <w:b/>
          <w:spacing w:val="-4"/>
          <w:szCs w:val="28"/>
        </w:rPr>
        <w:t>3. Ý kiến của Ban Kinh tế - Ngân sách</w:t>
      </w:r>
    </w:p>
    <w:p w:rsidR="00506454" w:rsidRPr="00D769B5" w:rsidRDefault="003C0C81" w:rsidP="00CD5ED1">
      <w:pPr>
        <w:spacing w:before="60" w:after="60" w:line="252" w:lineRule="auto"/>
        <w:ind w:firstLine="709"/>
        <w:jc w:val="both"/>
        <w:rPr>
          <w:szCs w:val="28"/>
        </w:rPr>
      </w:pPr>
      <w:r w:rsidRPr="00B23F98">
        <w:rPr>
          <w:szCs w:val="28"/>
        </w:rPr>
        <w:t>Qua nghiên cứu hồ sơ</w:t>
      </w:r>
      <w:r w:rsidR="002408D3" w:rsidRPr="00B23F98">
        <w:rPr>
          <w:szCs w:val="28"/>
        </w:rPr>
        <w:t xml:space="preserve"> dự thảo nghị quyết</w:t>
      </w:r>
      <w:r w:rsidRPr="00B23F98">
        <w:rPr>
          <w:szCs w:val="28"/>
        </w:rPr>
        <w:t>,</w:t>
      </w:r>
      <w:r w:rsidR="002408D3" w:rsidRPr="00B23F98">
        <w:rPr>
          <w:szCs w:val="28"/>
        </w:rPr>
        <w:t xml:space="preserve"> trên cơ sở các quy định của pháp luật</w:t>
      </w:r>
      <w:r w:rsidRPr="00B23F98">
        <w:rPr>
          <w:szCs w:val="28"/>
        </w:rPr>
        <w:t xml:space="preserve"> </w:t>
      </w:r>
      <w:r w:rsidR="002408D3" w:rsidRPr="00B23F98">
        <w:rPr>
          <w:szCs w:val="28"/>
        </w:rPr>
        <w:t xml:space="preserve">và ý kiến thảo luận của </w:t>
      </w:r>
      <w:r w:rsidR="002408D3">
        <w:rPr>
          <w:color w:val="000000" w:themeColor="text1"/>
          <w:lang w:val="nl-NL"/>
        </w:rPr>
        <w:t>các đại biểu tại phiên họp thẩm tra</w:t>
      </w:r>
      <w:r w:rsidR="002408D3" w:rsidRPr="00B23F98">
        <w:rPr>
          <w:rFonts w:asciiTheme="majorHAnsi" w:hAnsiTheme="majorHAnsi" w:cstheme="majorHAnsi"/>
          <w:color w:val="000000" w:themeColor="text1"/>
        </w:rPr>
        <w:t xml:space="preserve">, Ban Kinh tế - Ngân sách </w:t>
      </w:r>
      <w:r w:rsidRPr="00B23F98">
        <w:rPr>
          <w:szCs w:val="28"/>
        </w:rPr>
        <w:t xml:space="preserve">nhận thấy </w:t>
      </w:r>
      <w:r w:rsidR="00A43FD7" w:rsidRPr="00D769B5">
        <w:rPr>
          <w:spacing w:val="-4"/>
          <w:szCs w:val="28"/>
        </w:rPr>
        <w:t>Ủy ban nhân dân</w:t>
      </w:r>
      <w:r w:rsidR="00A43FD7" w:rsidRPr="00B23F98">
        <w:rPr>
          <w:spacing w:val="-4"/>
          <w:szCs w:val="28"/>
        </w:rPr>
        <w:t xml:space="preserve"> </w:t>
      </w:r>
      <w:r w:rsidRPr="00B23F98">
        <w:rPr>
          <w:szCs w:val="28"/>
        </w:rPr>
        <w:t xml:space="preserve">tỉnh đã bám sát các </w:t>
      </w:r>
      <w:r w:rsidRPr="00B23F98">
        <w:rPr>
          <w:spacing w:val="-4"/>
          <w:szCs w:val="28"/>
        </w:rPr>
        <w:t xml:space="preserve">quy định tại </w:t>
      </w:r>
      <w:r w:rsidRPr="00D769B5">
        <w:rPr>
          <w:szCs w:val="28"/>
        </w:rPr>
        <w:t xml:space="preserve">Nghị quyết </w:t>
      </w:r>
      <w:r w:rsidRPr="00B23F98">
        <w:rPr>
          <w:szCs w:val="28"/>
        </w:rPr>
        <w:t>49</w:t>
      </w:r>
      <w:r w:rsidRPr="00D769B5">
        <w:rPr>
          <w:szCs w:val="28"/>
        </w:rPr>
        <w:t>/201</w:t>
      </w:r>
      <w:r w:rsidRPr="00B23F98">
        <w:rPr>
          <w:szCs w:val="28"/>
        </w:rPr>
        <w:t>9</w:t>
      </w:r>
      <w:r w:rsidRPr="00D769B5">
        <w:rPr>
          <w:szCs w:val="28"/>
        </w:rPr>
        <w:t>/NQ-HĐND ngày 0</w:t>
      </w:r>
      <w:r w:rsidRPr="00B23F98">
        <w:rPr>
          <w:szCs w:val="28"/>
        </w:rPr>
        <w:t>9</w:t>
      </w:r>
      <w:r w:rsidRPr="00D769B5">
        <w:rPr>
          <w:szCs w:val="28"/>
        </w:rPr>
        <w:t>/12/201</w:t>
      </w:r>
      <w:r w:rsidRPr="00B23F98">
        <w:rPr>
          <w:szCs w:val="28"/>
        </w:rPr>
        <w:t>9,</w:t>
      </w:r>
      <w:r w:rsidRPr="00D769B5">
        <w:rPr>
          <w:szCs w:val="28"/>
        </w:rPr>
        <w:t xml:space="preserve"> Nghị quyết </w:t>
      </w:r>
      <w:r w:rsidRPr="00D769B5">
        <w:rPr>
          <w:color w:val="000000"/>
          <w:szCs w:val="28"/>
          <w:lang w:val="nl-NL"/>
        </w:rPr>
        <w:t xml:space="preserve">số 67/2016/NQ-HĐND ngày 09/12/2016 và </w:t>
      </w:r>
      <w:r w:rsidRPr="00D769B5">
        <w:rPr>
          <w:szCs w:val="28"/>
        </w:rPr>
        <w:t xml:space="preserve">Nghị quyết </w:t>
      </w:r>
      <w:r w:rsidRPr="00D769B5">
        <w:rPr>
          <w:color w:val="000000"/>
          <w:szCs w:val="28"/>
          <w:lang w:val="nl-NL"/>
        </w:rPr>
        <w:t xml:space="preserve">số 12/2018/NQ-HĐND ngày 19/7/2018 </w:t>
      </w:r>
      <w:r w:rsidRPr="00B23F98">
        <w:rPr>
          <w:szCs w:val="28"/>
        </w:rPr>
        <w:t>của HĐND tỉnh</w:t>
      </w:r>
      <w:r w:rsidRPr="00D769B5">
        <w:rPr>
          <w:spacing w:val="-4"/>
          <w:szCs w:val="28"/>
        </w:rPr>
        <w:t xml:space="preserve"> </w:t>
      </w:r>
      <w:r w:rsidR="00AA52A7" w:rsidRPr="00B23F98">
        <w:rPr>
          <w:spacing w:val="-4"/>
          <w:szCs w:val="28"/>
        </w:rPr>
        <w:t xml:space="preserve">để xây dựng phương án phân bổ chi tiết nguồn thu trên đảm bảo quy định. </w:t>
      </w:r>
      <w:r w:rsidRPr="00D769B5">
        <w:rPr>
          <w:szCs w:val="28"/>
        </w:rPr>
        <w:t xml:space="preserve">Ban Kinh tế - Ngân sách thống nhất với đề </w:t>
      </w:r>
      <w:r w:rsidR="00AA52A7" w:rsidRPr="00B23F98">
        <w:rPr>
          <w:szCs w:val="28"/>
        </w:rPr>
        <w:t>xuất</w:t>
      </w:r>
      <w:r w:rsidRPr="00D769B5">
        <w:rPr>
          <w:szCs w:val="28"/>
        </w:rPr>
        <w:t xml:space="preserve"> của </w:t>
      </w:r>
      <w:r w:rsidR="00A43FD7" w:rsidRPr="00D769B5">
        <w:rPr>
          <w:spacing w:val="-4"/>
          <w:szCs w:val="28"/>
        </w:rPr>
        <w:t>Ủy ban nhân dân</w:t>
      </w:r>
      <w:r w:rsidR="00A43FD7" w:rsidRPr="00B23F98">
        <w:rPr>
          <w:spacing w:val="-4"/>
          <w:szCs w:val="28"/>
        </w:rPr>
        <w:t xml:space="preserve"> </w:t>
      </w:r>
      <w:r w:rsidRPr="00D769B5">
        <w:rPr>
          <w:szCs w:val="28"/>
        </w:rPr>
        <w:t xml:space="preserve">tỉnh tại </w:t>
      </w:r>
      <w:r w:rsidR="00AA52A7" w:rsidRPr="00D769B5">
        <w:rPr>
          <w:szCs w:val="28"/>
        </w:rPr>
        <w:t xml:space="preserve">Tờ trình số </w:t>
      </w:r>
      <w:r w:rsidR="002408D3" w:rsidRPr="00B23F98">
        <w:rPr>
          <w:szCs w:val="28"/>
        </w:rPr>
        <w:t>143</w:t>
      </w:r>
      <w:r w:rsidR="00AA52A7" w:rsidRPr="00D769B5">
        <w:rPr>
          <w:szCs w:val="28"/>
        </w:rPr>
        <w:t xml:space="preserve">/TTr-UBND ngày </w:t>
      </w:r>
      <w:r w:rsidR="002408D3" w:rsidRPr="00B23F98">
        <w:rPr>
          <w:szCs w:val="28"/>
        </w:rPr>
        <w:t>24</w:t>
      </w:r>
      <w:r w:rsidR="00AA52A7" w:rsidRPr="00D769B5">
        <w:rPr>
          <w:szCs w:val="28"/>
        </w:rPr>
        <w:t>/</w:t>
      </w:r>
      <w:r w:rsidR="002408D3" w:rsidRPr="00B23F98">
        <w:rPr>
          <w:szCs w:val="28"/>
        </w:rPr>
        <w:t>11</w:t>
      </w:r>
      <w:r w:rsidR="00AA52A7" w:rsidRPr="00D769B5">
        <w:rPr>
          <w:szCs w:val="28"/>
        </w:rPr>
        <w:t>/2020</w:t>
      </w:r>
      <w:r w:rsidR="00AA52A7" w:rsidRPr="00B23F98">
        <w:rPr>
          <w:szCs w:val="28"/>
        </w:rPr>
        <w:t>.</w:t>
      </w:r>
      <w:r w:rsidR="00AA52A7" w:rsidRPr="00D769B5">
        <w:rPr>
          <w:szCs w:val="28"/>
        </w:rPr>
        <w:t xml:space="preserve"> Đề </w:t>
      </w:r>
      <w:r w:rsidR="00506454" w:rsidRPr="00D769B5">
        <w:rPr>
          <w:szCs w:val="28"/>
        </w:rPr>
        <w:t xml:space="preserve">nghị </w:t>
      </w:r>
      <w:r w:rsidR="00506454" w:rsidRPr="00D769B5">
        <w:rPr>
          <w:spacing w:val="-4"/>
          <w:szCs w:val="28"/>
        </w:rPr>
        <w:t xml:space="preserve">Ủy ban nhân dân </w:t>
      </w:r>
      <w:r w:rsidR="00506454" w:rsidRPr="00D769B5">
        <w:rPr>
          <w:szCs w:val="28"/>
        </w:rPr>
        <w:t>tỉnh chỉ đạo</w:t>
      </w:r>
      <w:r w:rsidR="00533EC8" w:rsidRPr="00B23F98">
        <w:rPr>
          <w:szCs w:val="28"/>
        </w:rPr>
        <w:t xml:space="preserve"> </w:t>
      </w:r>
      <w:r w:rsidR="00506454" w:rsidRPr="00D769B5">
        <w:rPr>
          <w:szCs w:val="28"/>
        </w:rPr>
        <w:t xml:space="preserve">các đơn vị được giao vốn triển khai thực hiện </w:t>
      </w:r>
      <w:r w:rsidR="006F07DE" w:rsidRPr="00B23F98">
        <w:rPr>
          <w:szCs w:val="28"/>
        </w:rPr>
        <w:t xml:space="preserve">theo </w:t>
      </w:r>
      <w:r w:rsidR="00506454" w:rsidRPr="00D769B5">
        <w:rPr>
          <w:szCs w:val="28"/>
        </w:rPr>
        <w:t>đúng quy</w:t>
      </w:r>
      <w:r w:rsidR="006F07DE" w:rsidRPr="00B23F98">
        <w:rPr>
          <w:szCs w:val="28"/>
        </w:rPr>
        <w:t xml:space="preserve"> định</w:t>
      </w:r>
      <w:r w:rsidR="00506454" w:rsidRPr="00D769B5">
        <w:rPr>
          <w:szCs w:val="28"/>
        </w:rPr>
        <w:t>.</w:t>
      </w:r>
    </w:p>
    <w:p w:rsidR="003256BC" w:rsidRDefault="003256BC" w:rsidP="003256BC">
      <w:pPr>
        <w:pStyle w:val="Befor-After"/>
        <w:spacing w:after="0"/>
        <w:ind w:firstLine="720"/>
        <w:rPr>
          <w:color w:val="auto"/>
          <w:lang w:val="nl-NL"/>
        </w:rPr>
      </w:pPr>
      <w:r>
        <w:rPr>
          <w:color w:val="auto"/>
          <w:lang w:val="nl-NL"/>
        </w:rPr>
        <w:t xml:space="preserve">Đề nghị Ủy ban nhân dân tỉnh rà soát, hoàn chỉnh dự thảo Nghị quyết theo quy định, </w:t>
      </w:r>
      <w:r w:rsidR="002A2CCE">
        <w:rPr>
          <w:color w:val="auto"/>
          <w:lang w:val="nl-NL"/>
        </w:rPr>
        <w:t>cập nhật dự thảo Nghị quyết theo đúng nội dung của Tờ trình s</w:t>
      </w:r>
      <w:r w:rsidR="00B23F98">
        <w:rPr>
          <w:color w:val="auto"/>
          <w:lang w:val="nl-NL"/>
        </w:rPr>
        <w:t>ố 143/TTr-UBND ngày 21/11/2020</w:t>
      </w:r>
      <w:r>
        <w:rPr>
          <w:color w:val="auto"/>
          <w:lang w:val="nl-NL"/>
        </w:rPr>
        <w:t>.</w:t>
      </w:r>
    </w:p>
    <w:p w:rsidR="007C037B" w:rsidRPr="00D769B5" w:rsidRDefault="007C037B" w:rsidP="00EF6369">
      <w:pPr>
        <w:shd w:val="clear" w:color="auto" w:fill="FFFFFF"/>
        <w:spacing w:before="120" w:after="120" w:line="264" w:lineRule="auto"/>
        <w:ind w:firstLine="709"/>
        <w:jc w:val="both"/>
        <w:rPr>
          <w:szCs w:val="28"/>
        </w:rPr>
      </w:pPr>
      <w:r w:rsidRPr="00D769B5">
        <w:rPr>
          <w:szCs w:val="28"/>
        </w:rPr>
        <w:t>Trên đây là Báo cáo thẩm tra của Ban Kinh tế - Ngân sách</w:t>
      </w:r>
      <w:r w:rsidRPr="00D769B5">
        <w:rPr>
          <w:bCs/>
          <w:szCs w:val="28"/>
        </w:rPr>
        <w:t>.</w:t>
      </w:r>
      <w:r w:rsidRPr="00D769B5">
        <w:rPr>
          <w:szCs w:val="28"/>
        </w:rPr>
        <w:t xml:space="preserve"> Kính trình Hội đồng nhân dân tỉ</w:t>
      </w:r>
      <w:r w:rsidR="00442417" w:rsidRPr="00D769B5">
        <w:rPr>
          <w:szCs w:val="28"/>
        </w:rPr>
        <w:t>nh Khóa XI</w:t>
      </w:r>
      <w:r w:rsidRPr="00D769B5">
        <w:rPr>
          <w:szCs w:val="28"/>
        </w:rPr>
        <w:t xml:space="preserve"> Kỳ họp thứ 1</w:t>
      </w:r>
      <w:r w:rsidR="003256BC" w:rsidRPr="00B23F98">
        <w:rPr>
          <w:szCs w:val="28"/>
        </w:rPr>
        <w:t>1</w:t>
      </w:r>
      <w:r w:rsidRPr="00D769B5">
        <w:rPr>
          <w:szCs w:val="28"/>
        </w:rPr>
        <w:t xml:space="preserve"> xem xét, quyết định./.</w:t>
      </w:r>
    </w:p>
    <w:tbl>
      <w:tblPr>
        <w:tblW w:w="5000" w:type="pct"/>
        <w:tblLook w:val="01E0" w:firstRow="1" w:lastRow="1" w:firstColumn="1" w:lastColumn="1" w:noHBand="0" w:noVBand="0"/>
      </w:tblPr>
      <w:tblGrid>
        <w:gridCol w:w="4447"/>
        <w:gridCol w:w="5124"/>
      </w:tblGrid>
      <w:tr w:rsidR="007C037B" w:rsidRPr="00A0328C" w:rsidTr="008E5C8D">
        <w:tc>
          <w:tcPr>
            <w:tcW w:w="2323" w:type="pct"/>
          </w:tcPr>
          <w:p w:rsidR="007C037B" w:rsidRPr="00A0328C" w:rsidRDefault="007C037B" w:rsidP="008E5C8D">
            <w:pPr>
              <w:rPr>
                <w:b/>
                <w:i/>
                <w:sz w:val="24"/>
              </w:rPr>
            </w:pPr>
            <w:r w:rsidRPr="00A0328C">
              <w:rPr>
                <w:b/>
                <w:i/>
                <w:sz w:val="24"/>
              </w:rPr>
              <w:t>Nơi nhận:</w:t>
            </w:r>
          </w:p>
          <w:p w:rsidR="007C037B" w:rsidRPr="00A0328C" w:rsidRDefault="007C037B" w:rsidP="008E5C8D">
            <w:pPr>
              <w:rPr>
                <w:sz w:val="22"/>
              </w:rPr>
            </w:pPr>
            <w:r w:rsidRPr="00A0328C">
              <w:rPr>
                <w:sz w:val="22"/>
              </w:rPr>
              <w:t>- Thường trực HĐND tỉnh;</w:t>
            </w:r>
          </w:p>
          <w:p w:rsidR="007C037B" w:rsidRPr="00A0328C" w:rsidRDefault="007C037B" w:rsidP="008E5C8D">
            <w:pPr>
              <w:rPr>
                <w:sz w:val="22"/>
              </w:rPr>
            </w:pPr>
            <w:r w:rsidRPr="00A0328C">
              <w:rPr>
                <w:sz w:val="22"/>
              </w:rPr>
              <w:t xml:space="preserve">- UBND tỉnh; </w:t>
            </w:r>
            <w:r w:rsidRPr="00A0328C">
              <w:rPr>
                <w:sz w:val="22"/>
              </w:rPr>
              <w:tab/>
            </w:r>
          </w:p>
          <w:p w:rsidR="007C037B" w:rsidRPr="00A0328C" w:rsidRDefault="007C037B" w:rsidP="008E5C8D">
            <w:pPr>
              <w:rPr>
                <w:sz w:val="22"/>
              </w:rPr>
            </w:pPr>
            <w:r w:rsidRPr="00A0328C">
              <w:rPr>
                <w:sz w:val="22"/>
              </w:rPr>
              <w:t>- Đại biểu HĐND tỉnh;</w:t>
            </w:r>
          </w:p>
          <w:p w:rsidR="007C037B" w:rsidRPr="00A0328C" w:rsidRDefault="007C037B" w:rsidP="00CD5ED1">
            <w:r w:rsidRPr="00A0328C">
              <w:rPr>
                <w:sz w:val="22"/>
              </w:rPr>
              <w:t xml:space="preserve">- Lưu: VT, </w:t>
            </w:r>
            <w:r w:rsidR="00E749A3">
              <w:rPr>
                <w:sz w:val="22"/>
                <w:lang w:val="en-US"/>
              </w:rPr>
              <w:t xml:space="preserve">Ban </w:t>
            </w:r>
            <w:r w:rsidRPr="00A0328C">
              <w:rPr>
                <w:sz w:val="22"/>
              </w:rPr>
              <w:t>KT-NS</w:t>
            </w:r>
            <w:r w:rsidRPr="00A0328C">
              <w:rPr>
                <w:sz w:val="14"/>
              </w:rPr>
              <w:t>.</w:t>
            </w:r>
          </w:p>
        </w:tc>
        <w:tc>
          <w:tcPr>
            <w:tcW w:w="2677" w:type="pct"/>
          </w:tcPr>
          <w:p w:rsidR="007C037B" w:rsidRPr="00A0328C" w:rsidRDefault="007C037B" w:rsidP="008E5C8D">
            <w:pPr>
              <w:jc w:val="center"/>
              <w:rPr>
                <w:b/>
              </w:rPr>
            </w:pPr>
            <w:r w:rsidRPr="00A0328C">
              <w:rPr>
                <w:b/>
              </w:rPr>
              <w:t>TM. BAN KINH TẾ - NGÂN SÁCH</w:t>
            </w:r>
          </w:p>
          <w:p w:rsidR="007C037B" w:rsidRPr="00A0328C" w:rsidRDefault="007C037B" w:rsidP="008E5C8D">
            <w:pPr>
              <w:jc w:val="center"/>
              <w:rPr>
                <w:b/>
              </w:rPr>
            </w:pPr>
            <w:r w:rsidRPr="00A0328C">
              <w:rPr>
                <w:b/>
              </w:rPr>
              <w:t>TRƯỞNG BAN</w:t>
            </w:r>
          </w:p>
          <w:p w:rsidR="007F7D0F" w:rsidRPr="007F7D0F" w:rsidRDefault="00BD447E" w:rsidP="00E749A3">
            <w:pPr>
              <w:jc w:val="center"/>
              <w:rPr>
                <w:b/>
                <w:lang w:val="en-US"/>
              </w:rPr>
            </w:pPr>
            <w:r>
              <w:rPr>
                <w:b/>
                <w:lang w:val="en-US"/>
              </w:rPr>
              <w:t>Đã ký</w:t>
            </w:r>
            <w:bookmarkStart w:id="1" w:name="_GoBack"/>
            <w:bookmarkEnd w:id="1"/>
          </w:p>
          <w:p w:rsidR="007C037B" w:rsidRPr="00A0328C" w:rsidRDefault="007C037B" w:rsidP="008E5C8D">
            <w:pPr>
              <w:jc w:val="center"/>
              <w:rPr>
                <w:b/>
              </w:rPr>
            </w:pPr>
            <w:r w:rsidRPr="00A0328C">
              <w:rPr>
                <w:b/>
              </w:rPr>
              <w:t>Hồ Văn Đà</w:t>
            </w:r>
          </w:p>
        </w:tc>
      </w:tr>
    </w:tbl>
    <w:p w:rsidR="008E5C8D" w:rsidRPr="00CD5ED1" w:rsidRDefault="008E5C8D" w:rsidP="00CD5ED1">
      <w:pPr>
        <w:rPr>
          <w:lang w:val="en-US"/>
        </w:rPr>
      </w:pPr>
    </w:p>
    <w:sectPr w:rsidR="008E5C8D" w:rsidRPr="00CD5ED1" w:rsidSect="00442417">
      <w:headerReference w:type="default" r:id="rId7"/>
      <w:pgSz w:w="11907" w:h="16840" w:code="9"/>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E09" w:rsidRDefault="00E16E09" w:rsidP="007C037B">
      <w:r>
        <w:separator/>
      </w:r>
    </w:p>
  </w:endnote>
  <w:endnote w:type="continuationSeparator" w:id="0">
    <w:p w:rsidR="00E16E09" w:rsidRDefault="00E16E09" w:rsidP="007C0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E09" w:rsidRDefault="00E16E09" w:rsidP="007C037B">
      <w:r>
        <w:separator/>
      </w:r>
    </w:p>
  </w:footnote>
  <w:footnote w:type="continuationSeparator" w:id="0">
    <w:p w:rsidR="00E16E09" w:rsidRDefault="00E16E09" w:rsidP="007C037B">
      <w:r>
        <w:continuationSeparator/>
      </w:r>
    </w:p>
  </w:footnote>
  <w:footnote w:id="1">
    <w:p w:rsidR="00230513" w:rsidRPr="00230513" w:rsidRDefault="00230513" w:rsidP="00571536">
      <w:pPr>
        <w:pStyle w:val="FootnoteText"/>
        <w:spacing w:before="0"/>
        <w:rPr>
          <w:lang w:val="en-US"/>
        </w:rPr>
      </w:pPr>
      <w:r>
        <w:rPr>
          <w:rStyle w:val="FootnoteReference"/>
        </w:rPr>
        <w:footnoteRef/>
      </w:r>
      <w:r>
        <w:t xml:space="preserve"> </w:t>
      </w:r>
      <w:r>
        <w:rPr>
          <w:lang w:val="en-US"/>
        </w:rPr>
        <w:t>Q</w:t>
      </w:r>
      <w:r w:rsidRPr="00D769B5">
        <w:rPr>
          <w:szCs w:val="28"/>
        </w:rPr>
        <w:t xml:space="preserve">uy định: </w:t>
      </w:r>
      <w:r w:rsidRPr="00D769B5">
        <w:rPr>
          <w:i/>
          <w:szCs w:val="28"/>
        </w:rPr>
        <w:t>“</w:t>
      </w:r>
      <w:r w:rsidRPr="00D769B5">
        <w:rPr>
          <w:i/>
          <w:spacing w:val="-2"/>
          <w:szCs w:val="28"/>
        </w:rPr>
        <w:t>Đối với nguồn thu tiền sử dụng đất dự kiến phân bổ cho các dự án do cấp tỉnh quản lý: Căn cứ tiến độ nguồn thu thực tế, Ủy ban nhân dân tỉnh trình Hội đồng nhân dân tỉnh xem xét phân bổ chi tiết cho các dự án để triển khai thực hiện.</w:t>
      </w:r>
      <w:r w:rsidRPr="00D769B5">
        <w:rPr>
          <w:i/>
          <w:szCs w:val="28"/>
        </w:rPr>
        <w:t>”</w:t>
      </w:r>
    </w:p>
  </w:footnote>
  <w:footnote w:id="2">
    <w:p w:rsidR="00230513" w:rsidRDefault="00230513" w:rsidP="00571536">
      <w:pPr>
        <w:pStyle w:val="FootnoteText"/>
        <w:spacing w:before="0"/>
        <w:jc w:val="both"/>
      </w:pPr>
      <w:r>
        <w:rPr>
          <w:vertAlign w:val="superscript"/>
        </w:rPr>
        <w:t>(</w:t>
      </w:r>
      <w:r>
        <w:rPr>
          <w:rStyle w:val="FootnoteReference"/>
        </w:rPr>
        <w:footnoteRef/>
      </w:r>
      <w:r>
        <w:rPr>
          <w:vertAlign w:val="superscript"/>
        </w:rPr>
        <w:t>)</w:t>
      </w:r>
      <w:r>
        <w:t xml:space="preserve"> Sở Tài chính sẽ tổng hợp báo cáo Bộ Tài chính cho phép địa phương loại trừ trước khi xác định tăng thu tạo nguồn cải cách tiền lương theo quy định.</w:t>
      </w:r>
    </w:p>
  </w:footnote>
  <w:footnote w:id="3">
    <w:p w:rsidR="00230513" w:rsidRPr="000C019E" w:rsidRDefault="00230513" w:rsidP="00571536">
      <w:pPr>
        <w:pStyle w:val="FootnoteText"/>
        <w:spacing w:before="0"/>
        <w:jc w:val="both"/>
      </w:pPr>
      <w:r w:rsidRPr="000C019E">
        <w:rPr>
          <w:vertAlign w:val="superscript"/>
        </w:rPr>
        <w:t>(</w:t>
      </w:r>
      <w:r w:rsidRPr="000C019E">
        <w:rPr>
          <w:rStyle w:val="FootnoteReference"/>
        </w:rPr>
        <w:footnoteRef/>
      </w:r>
      <w:r w:rsidRPr="000C019E">
        <w:rPr>
          <w:vertAlign w:val="superscript"/>
        </w:rPr>
        <w:t>)</w:t>
      </w:r>
      <w:r w:rsidRPr="000C019E">
        <w:t xml:space="preserve"> Dự án được Ủy ban nhân dân tỉnh phê duyệt Dự án đầu tư và Kế hoạch lựa chọn nhà thầu tại Quyết định số 935/QĐ-UBND ngày 24/9/2020 với tổng mức đầu tư 35.999 triệu đồng. Kế hoạch vốn đầu tư công trung hạn giai đoạn 2016-2020 của dự án là 10.000 triệu đồng. Ủy ban nhân dân tỉnh thống nhất cho ứng trước ngân sách tỉnh tại Công văn số 4261/UBND-KTTH ngày 12/11/2020.</w:t>
      </w:r>
    </w:p>
  </w:footnote>
  <w:footnote w:id="4">
    <w:p w:rsidR="00230513" w:rsidRPr="000C019E" w:rsidRDefault="00230513" w:rsidP="00571536">
      <w:pPr>
        <w:pStyle w:val="FootnoteText"/>
        <w:spacing w:before="0"/>
        <w:jc w:val="both"/>
      </w:pPr>
      <w:r w:rsidRPr="000C019E">
        <w:rPr>
          <w:vertAlign w:val="superscript"/>
        </w:rPr>
        <w:t>(</w:t>
      </w:r>
      <w:r w:rsidRPr="000C019E">
        <w:rPr>
          <w:rStyle w:val="FootnoteReference"/>
        </w:rPr>
        <w:footnoteRef/>
      </w:r>
      <w:r w:rsidRPr="000C019E">
        <w:rPr>
          <w:vertAlign w:val="superscript"/>
        </w:rPr>
        <w:t>)</w:t>
      </w:r>
      <w:r w:rsidRPr="000C019E">
        <w:t xml:space="preserve"> Dự án được Ủy ban nhân dân tỉnh phê duyệt Báo cáo nghiên cứu khả thi và kế hoạch lựa chọn nhà thầu tại Quyết định số 781/QĐ-UBND ngày 29/7/2019 với tổng mức đầu tư 30.701 triệu đồng. Kế hoạch vốn đầu tư công trung hạn giai đoạn 2016-2020 của dự án là 27.682 triệu đồng. Ủy ban nhân dân tỉnh thống nhất cho ứng trước ngân sách tỉnh tại Công văn số 2310/UBND-KTTH ngày 06/9/2019.</w:t>
      </w:r>
    </w:p>
  </w:footnote>
  <w:footnote w:id="5">
    <w:p w:rsidR="00230513" w:rsidRPr="000C019E" w:rsidRDefault="00230513" w:rsidP="00571536">
      <w:pPr>
        <w:pStyle w:val="FootnoteText"/>
        <w:spacing w:before="0"/>
        <w:jc w:val="both"/>
      </w:pPr>
      <w:r w:rsidRPr="000C019E">
        <w:rPr>
          <w:vertAlign w:val="superscript"/>
        </w:rPr>
        <w:t>(</w:t>
      </w:r>
      <w:r w:rsidRPr="000C019E">
        <w:rPr>
          <w:rStyle w:val="FootnoteReference"/>
        </w:rPr>
        <w:footnoteRef/>
      </w:r>
      <w:r w:rsidRPr="000C019E">
        <w:rPr>
          <w:vertAlign w:val="superscript"/>
        </w:rPr>
        <w:t>)</w:t>
      </w:r>
      <w:bookmarkStart w:id="0" w:name="_Hlk56600932"/>
      <w:r w:rsidRPr="000C019E">
        <w:rPr>
          <w:vertAlign w:val="superscript"/>
        </w:rPr>
        <w:t xml:space="preserve"> </w:t>
      </w:r>
      <w:r w:rsidRPr="000C019E">
        <w:t xml:space="preserve">Dự án </w:t>
      </w:r>
      <w:r w:rsidRPr="000C019E">
        <w:rPr>
          <w:rFonts w:hint="eastAsia"/>
        </w:rPr>
        <w:t>đã</w:t>
      </w:r>
      <w:r w:rsidRPr="000C019E">
        <w:t xml:space="preserve"> </w:t>
      </w:r>
      <w:r w:rsidRPr="000C019E">
        <w:rPr>
          <w:rFonts w:hint="eastAsia"/>
        </w:rPr>
        <w:t>đư</w:t>
      </w:r>
      <w:r w:rsidRPr="000C019E">
        <w:t xml:space="preserve">ợc Hội đồng nhân dân tỉnh </w:t>
      </w:r>
      <w:r w:rsidRPr="000C019E">
        <w:rPr>
          <w:rFonts w:hint="eastAsia"/>
        </w:rPr>
        <w:t>đ</w:t>
      </w:r>
      <w:r w:rsidRPr="000C019E">
        <w:t>iều chỉnh chủ tr</w:t>
      </w:r>
      <w:r w:rsidRPr="000C019E">
        <w:rPr>
          <w:rFonts w:hint="eastAsia"/>
        </w:rPr>
        <w:t>ươ</w:t>
      </w:r>
      <w:r w:rsidRPr="000C019E">
        <w:t xml:space="preserve">ng </w:t>
      </w:r>
      <w:r w:rsidRPr="000C019E">
        <w:rPr>
          <w:rFonts w:hint="eastAsia"/>
        </w:rPr>
        <w:t>đ</w:t>
      </w:r>
      <w:r w:rsidRPr="000C019E">
        <w:t>ầu t</w:t>
      </w:r>
      <w:r w:rsidRPr="000C019E">
        <w:rPr>
          <w:rFonts w:hint="eastAsia"/>
        </w:rPr>
        <w:t>ư</w:t>
      </w:r>
      <w:r w:rsidRPr="000C019E">
        <w:t xml:space="preserve"> tại Nghị quyết số 39/NQ-H</w:t>
      </w:r>
      <w:r w:rsidRPr="000C019E">
        <w:rPr>
          <w:rFonts w:hint="eastAsia"/>
        </w:rPr>
        <w:t>Đ</w:t>
      </w:r>
      <w:r w:rsidRPr="000C019E">
        <w:t xml:space="preserve">ND ngày 29/9/2020 và Ủy ban nhân dân tỉnh triển khai </w:t>
      </w:r>
      <w:r w:rsidRPr="000C019E">
        <w:rPr>
          <w:rFonts w:hint="eastAsia"/>
        </w:rPr>
        <w:t>đ</w:t>
      </w:r>
      <w:r w:rsidRPr="000C019E">
        <w:t>iều chỉnh chủ tr</w:t>
      </w:r>
      <w:r w:rsidRPr="000C019E">
        <w:rPr>
          <w:rFonts w:hint="eastAsia"/>
        </w:rPr>
        <w:t>ươ</w:t>
      </w:r>
      <w:r w:rsidRPr="000C019E">
        <w:t xml:space="preserve">ng tại Quyết </w:t>
      </w:r>
      <w:r w:rsidRPr="000C019E">
        <w:rPr>
          <w:rFonts w:hint="eastAsia"/>
        </w:rPr>
        <w:t>đ</w:t>
      </w:r>
      <w:r w:rsidRPr="000C019E">
        <w:t>ịnh số 967/Q</w:t>
      </w:r>
      <w:r w:rsidRPr="000C019E">
        <w:rPr>
          <w:rFonts w:hint="eastAsia"/>
        </w:rPr>
        <w:t>Đ</w:t>
      </w:r>
      <w:r w:rsidRPr="000C019E">
        <w:t xml:space="preserve">-UBND ngày 05/10/2020 với tổng mức đầu tư 76.100 triệu </w:t>
      </w:r>
      <w:r w:rsidRPr="000C019E">
        <w:rPr>
          <w:rFonts w:hint="eastAsia"/>
        </w:rPr>
        <w:t>đ</w:t>
      </w:r>
      <w:r w:rsidRPr="000C019E">
        <w:t>ồng. Kế hoạch vốn đầu tư công trung hạn giai đoạn 2016-2020 của dự án là 30.000 triệu đồng</w:t>
      </w:r>
      <w:bookmarkEnd w:id="0"/>
      <w:r w:rsidRPr="000C019E">
        <w:t xml:space="preserve">, đến nay dự án đã được phân bổ 12.859,59 triệu đồng. </w:t>
      </w:r>
    </w:p>
  </w:footnote>
  <w:footnote w:id="6">
    <w:p w:rsidR="00230513" w:rsidRPr="000C019E" w:rsidRDefault="00230513" w:rsidP="00571536">
      <w:pPr>
        <w:pStyle w:val="FootnoteText"/>
        <w:spacing w:before="0"/>
        <w:jc w:val="both"/>
      </w:pPr>
      <w:r w:rsidRPr="000C019E">
        <w:rPr>
          <w:vertAlign w:val="superscript"/>
        </w:rPr>
        <w:t>(</w:t>
      </w:r>
      <w:r w:rsidRPr="000C019E">
        <w:rPr>
          <w:rStyle w:val="FootnoteReference"/>
        </w:rPr>
        <w:footnoteRef/>
      </w:r>
      <w:r w:rsidRPr="000C019E">
        <w:rPr>
          <w:vertAlign w:val="superscript"/>
        </w:rPr>
        <w:t>)</w:t>
      </w:r>
      <w:r w:rsidRPr="000C019E">
        <w:t xml:space="preserve">  Dự án được Ủy ban nhân dân tỉnh phê duyệt Báo cáo nghiên cứu khả thi và Kế hoạch lựa chọn nhà thầu tại Quyết định số 985/QĐ-UBND ngày 13/9/2019 với tổng mức đầu tư 388.903 triệu đồng. Kế hoạch vốn đầu tư công trung hạn giai đoạn 2016-2020 của dự án là 85.575 triệu đồng, đến nay dự án chưa được bố trí vốn. B</w:t>
      </w:r>
      <w:r w:rsidRPr="000C019E">
        <w:rPr>
          <w:rFonts w:cs="Arial"/>
        </w:rPr>
        <w:t>ố</w:t>
      </w:r>
      <w:r w:rsidRPr="000C019E">
        <w:t xml:space="preserve"> tr</w:t>
      </w:r>
      <w:r w:rsidRPr="000C019E">
        <w:rPr>
          <w:rFonts w:cs=".VnTime"/>
        </w:rPr>
        <w:t>í</w:t>
      </w:r>
      <w:r w:rsidRPr="000C019E">
        <w:t xml:space="preserve"> v</w:t>
      </w:r>
      <w:r w:rsidRPr="000C019E">
        <w:rPr>
          <w:rFonts w:cs="Arial"/>
        </w:rPr>
        <w:t>ố</w:t>
      </w:r>
      <w:r w:rsidRPr="000C019E">
        <w:t>n chu</w:t>
      </w:r>
      <w:r w:rsidRPr="000C019E">
        <w:rPr>
          <w:rFonts w:cs="Arial"/>
        </w:rPr>
        <w:t>ẩ</w:t>
      </w:r>
      <w:r w:rsidRPr="000C019E">
        <w:t>n b</w:t>
      </w:r>
      <w:r w:rsidRPr="000C019E">
        <w:rPr>
          <w:rFonts w:cs="Arial"/>
        </w:rPr>
        <w:t>ị</w:t>
      </w:r>
      <w:r w:rsidRPr="000C019E">
        <w:t xml:space="preserve"> </w:t>
      </w:r>
      <w:r w:rsidRPr="000C019E">
        <w:rPr>
          <w:rFonts w:cs="Arial"/>
        </w:rPr>
        <w:t>đầ</w:t>
      </w:r>
      <w:r w:rsidRPr="000C019E">
        <w:t>u t</w:t>
      </w:r>
      <w:r w:rsidRPr="000C019E">
        <w:rPr>
          <w:rFonts w:cs="Arial"/>
        </w:rPr>
        <w:t>ư</w:t>
      </w:r>
      <w:r w:rsidRPr="000C019E">
        <w:t>, chu</w:t>
      </w:r>
      <w:r w:rsidRPr="000C019E">
        <w:rPr>
          <w:rFonts w:cs="Arial"/>
        </w:rPr>
        <w:t>ẩ</w:t>
      </w:r>
      <w:r w:rsidRPr="000C019E">
        <w:t>n b</w:t>
      </w:r>
      <w:r w:rsidRPr="000C019E">
        <w:rPr>
          <w:rFonts w:cs="Arial"/>
        </w:rPr>
        <w:t>ị</w:t>
      </w:r>
      <w:r w:rsidRPr="000C019E">
        <w:t xml:space="preserve"> th</w:t>
      </w:r>
      <w:r w:rsidRPr="000C019E">
        <w:rPr>
          <w:rFonts w:cs="Arial"/>
        </w:rPr>
        <w:t>ự</w:t>
      </w:r>
      <w:r w:rsidRPr="000C019E">
        <w:t>c hi</w:t>
      </w:r>
      <w:r w:rsidRPr="000C019E">
        <w:rPr>
          <w:rFonts w:cs="Arial"/>
        </w:rPr>
        <w:t>ệ</w:t>
      </w:r>
      <w:r w:rsidRPr="000C019E">
        <w:t>n (bao g</w:t>
      </w:r>
      <w:r w:rsidRPr="000C019E">
        <w:rPr>
          <w:rFonts w:cs="Arial"/>
        </w:rPr>
        <w:t>ồ</w:t>
      </w:r>
      <w:r w:rsidRPr="000C019E">
        <w:t>m c</w:t>
      </w:r>
      <w:r w:rsidRPr="000C019E">
        <w:rPr>
          <w:rFonts w:cs=".VnTime"/>
        </w:rPr>
        <w:t>ô</w:t>
      </w:r>
      <w:r w:rsidRPr="000C019E">
        <w:t>ng t</w:t>
      </w:r>
      <w:r w:rsidRPr="000C019E">
        <w:rPr>
          <w:rFonts w:cs=".VnTime"/>
        </w:rPr>
        <w:t>á</w:t>
      </w:r>
      <w:r w:rsidRPr="000C019E">
        <w:t>c b</w:t>
      </w:r>
      <w:r w:rsidRPr="000C019E">
        <w:rPr>
          <w:rFonts w:cs="Arial"/>
        </w:rPr>
        <w:t>ồ</w:t>
      </w:r>
      <w:r w:rsidRPr="000C019E">
        <w:t>i th</w:t>
      </w:r>
      <w:r w:rsidRPr="000C019E">
        <w:rPr>
          <w:rFonts w:cs="Arial"/>
        </w:rPr>
        <w:t>ườ</w:t>
      </w:r>
      <w:r w:rsidRPr="000C019E">
        <w:t>ng, gi</w:t>
      </w:r>
      <w:r w:rsidRPr="000C019E">
        <w:rPr>
          <w:rFonts w:cs="Arial"/>
        </w:rPr>
        <w:t>ả</w:t>
      </w:r>
      <w:r w:rsidRPr="000C019E">
        <w:t>i ph</w:t>
      </w:r>
      <w:r w:rsidRPr="000C019E">
        <w:rPr>
          <w:rFonts w:cs=".VnTime"/>
        </w:rPr>
        <w:t>ó</w:t>
      </w:r>
      <w:r w:rsidRPr="000C019E">
        <w:t>ng m</w:t>
      </w:r>
      <w:r w:rsidRPr="000C019E">
        <w:rPr>
          <w:rFonts w:cs="Arial"/>
        </w:rPr>
        <w:t>ặ</w:t>
      </w:r>
      <w:r w:rsidRPr="000C019E">
        <w:t>t b</w:t>
      </w:r>
      <w:r w:rsidRPr="000C019E">
        <w:rPr>
          <w:rFonts w:cs="Arial"/>
        </w:rPr>
        <w:t>ằ</w:t>
      </w:r>
      <w:r w:rsidRPr="000C019E">
        <w:t>ng) v</w:t>
      </w:r>
      <w:r w:rsidRPr="000C019E">
        <w:rPr>
          <w:rFonts w:cs="Arial"/>
        </w:rPr>
        <w:t>à</w:t>
      </w:r>
      <w:r w:rsidRPr="000C019E">
        <w:t xml:space="preserve"> ch</w:t>
      </w:r>
      <w:r w:rsidRPr="000C019E">
        <w:rPr>
          <w:rFonts w:cs="Arial"/>
        </w:rPr>
        <w:t>ỉ</w:t>
      </w:r>
      <w:r w:rsidRPr="000C019E">
        <w:t xml:space="preserve"> </w:t>
      </w:r>
      <w:r w:rsidRPr="000C019E">
        <w:rPr>
          <w:rFonts w:cs="Arial"/>
        </w:rPr>
        <w:t>đượ</w:t>
      </w:r>
      <w:r w:rsidRPr="000C019E">
        <w:t>c tri</w:t>
      </w:r>
      <w:r w:rsidRPr="000C019E">
        <w:rPr>
          <w:rFonts w:cs="Arial"/>
        </w:rPr>
        <w:t>ể</w:t>
      </w:r>
      <w:r w:rsidRPr="000C019E">
        <w:t xml:space="preserve">n khai </w:t>
      </w:r>
      <w:r w:rsidRPr="000C019E">
        <w:rPr>
          <w:rFonts w:cs="Arial"/>
        </w:rPr>
        <w:t>đầ</w:t>
      </w:r>
      <w:r w:rsidRPr="000C019E">
        <w:t>u t</w:t>
      </w:r>
      <w:r w:rsidRPr="000C019E">
        <w:rPr>
          <w:rFonts w:cs="Arial"/>
        </w:rPr>
        <w:t>ư</w:t>
      </w:r>
      <w:r w:rsidRPr="000C019E">
        <w:t xml:space="preserve"> xây d</w:t>
      </w:r>
      <w:r w:rsidRPr="000C019E">
        <w:rPr>
          <w:rFonts w:cs="Arial"/>
        </w:rPr>
        <w:t>ự</w:t>
      </w:r>
      <w:r w:rsidRPr="000C019E">
        <w:t xml:space="preserve">ng sau khi </w:t>
      </w:r>
      <w:r w:rsidRPr="000C019E">
        <w:rPr>
          <w:rFonts w:cs="Arial"/>
        </w:rPr>
        <w:t>đượ</w:t>
      </w:r>
      <w:r w:rsidRPr="000C019E">
        <w:t>c c</w:t>
      </w:r>
      <w:r w:rsidRPr="000C019E">
        <w:rPr>
          <w:rFonts w:cs="Arial"/>
        </w:rPr>
        <w:t>ấ</w:t>
      </w:r>
      <w:r w:rsidRPr="000C019E">
        <w:t>p c</w:t>
      </w:r>
      <w:r w:rsidRPr="000C019E">
        <w:rPr>
          <w:rFonts w:cs=".VnTime"/>
        </w:rPr>
        <w:t>ó</w:t>
      </w:r>
      <w:r w:rsidRPr="000C019E">
        <w:t xml:space="preserve"> th</w:t>
      </w:r>
      <w:r w:rsidRPr="000C019E">
        <w:rPr>
          <w:rFonts w:cs="Arial"/>
        </w:rPr>
        <w:t>ẩ</w:t>
      </w:r>
      <w:r w:rsidRPr="000C019E">
        <w:t>m quy</w:t>
      </w:r>
      <w:r w:rsidRPr="000C019E">
        <w:rPr>
          <w:rFonts w:cs="Arial"/>
        </w:rPr>
        <w:t>ề</w:t>
      </w:r>
      <w:r w:rsidRPr="000C019E">
        <w:t xml:space="preserve">n </w:t>
      </w:r>
      <w:r w:rsidRPr="000C019E">
        <w:rPr>
          <w:rFonts w:cs="Arial"/>
        </w:rPr>
        <w:t>đ</w:t>
      </w:r>
      <w:r w:rsidRPr="000C019E">
        <w:t>i</w:t>
      </w:r>
      <w:r w:rsidRPr="000C019E">
        <w:rPr>
          <w:rFonts w:cs="Arial"/>
        </w:rPr>
        <w:t>ề</w:t>
      </w:r>
      <w:r w:rsidRPr="000C019E">
        <w:t>u ch</w:t>
      </w:r>
      <w:r w:rsidRPr="000C019E">
        <w:rPr>
          <w:rFonts w:cs="Arial"/>
        </w:rPr>
        <w:t>ỉ</w:t>
      </w:r>
      <w:r w:rsidRPr="000C019E">
        <w:t>nh d</w:t>
      </w:r>
      <w:r w:rsidRPr="000C019E">
        <w:rPr>
          <w:rFonts w:cs="Arial"/>
        </w:rPr>
        <w:t>ự</w:t>
      </w:r>
      <w:r w:rsidRPr="000C019E">
        <w:t xml:space="preserve"> </w:t>
      </w:r>
      <w:r w:rsidRPr="000C019E">
        <w:rPr>
          <w:rFonts w:cs=".VnTime"/>
        </w:rPr>
        <w:t>á</w:t>
      </w:r>
      <w:r w:rsidRPr="000C019E">
        <w:t xml:space="preserve">n theo quy </w:t>
      </w:r>
      <w:r w:rsidRPr="000C019E">
        <w:rPr>
          <w:rFonts w:cs="Arial"/>
        </w:rPr>
        <w:t>đị</w:t>
      </w:r>
      <w:r w:rsidRPr="000C019E">
        <w:t>nh.</w:t>
      </w:r>
    </w:p>
  </w:footnote>
  <w:footnote w:id="7">
    <w:p w:rsidR="00230513" w:rsidRPr="000C019E" w:rsidRDefault="00230513" w:rsidP="00571536">
      <w:pPr>
        <w:pStyle w:val="FootnoteText"/>
        <w:spacing w:before="0"/>
        <w:jc w:val="both"/>
      </w:pPr>
      <w:r w:rsidRPr="000C019E">
        <w:rPr>
          <w:vertAlign w:val="superscript"/>
        </w:rPr>
        <w:t>(</w:t>
      </w:r>
      <w:r w:rsidRPr="000C019E">
        <w:rPr>
          <w:rStyle w:val="FootnoteReference"/>
        </w:rPr>
        <w:footnoteRef/>
      </w:r>
      <w:r w:rsidRPr="000C019E">
        <w:rPr>
          <w:vertAlign w:val="superscript"/>
        </w:rPr>
        <w:t>)</w:t>
      </w:r>
      <w:r w:rsidRPr="000C019E">
        <w:t xml:space="preserve"> Dự án đã được Ủy ban nhân dân tỉnh phê duyệt Báo cáo nghiên cứu khả thi và kế hoạch lựa chọn nhà thầu tại Quyết định số 728/QĐ-UBND ngày 15/7/2019 với tổng mức đầu tư 57.000 triệu đồng. Kế hoạch vốn đầu tư công trung hạn giai đoạn 2016-2020 của dự án là 30.000 triệu đồng, đến nay dự án chưa được bố trí vốn. </w:t>
      </w:r>
      <w:r w:rsidRPr="000C019E">
        <w:rPr>
          <w:szCs w:val="14"/>
        </w:rPr>
        <w:t xml:space="preserve">Dự án đã được ký kết </w:t>
      </w:r>
      <w:r w:rsidRPr="000C019E">
        <w:t>hợp đồng xây lắp với giá trị gói thầu 32.033 triệu đồng; hiện dự án đang triển khai thực hiện công tác bồi thường, giải phóng mặt bằng.</w:t>
      </w:r>
    </w:p>
  </w:footnote>
  <w:footnote w:id="8">
    <w:p w:rsidR="00230513" w:rsidRPr="000C019E" w:rsidRDefault="00230513" w:rsidP="00571536">
      <w:pPr>
        <w:pStyle w:val="FootnoteText"/>
        <w:spacing w:before="0"/>
        <w:jc w:val="both"/>
      </w:pPr>
      <w:r w:rsidRPr="000C019E">
        <w:rPr>
          <w:vertAlign w:val="superscript"/>
        </w:rPr>
        <w:t>(</w:t>
      </w:r>
      <w:r w:rsidRPr="000C019E">
        <w:rPr>
          <w:rStyle w:val="FootnoteReference"/>
        </w:rPr>
        <w:footnoteRef/>
      </w:r>
      <w:r w:rsidRPr="000C019E">
        <w:rPr>
          <w:vertAlign w:val="superscript"/>
        </w:rPr>
        <w:t>)</w:t>
      </w:r>
      <w:r w:rsidRPr="000C019E">
        <w:t xml:space="preserve"> Dự án đã được Ủy ban nhân dân tỉnh phê duyệt Báo cáo nghiên cứu khả thi và kế hoạch lựa chọn nhà thầu tại Quyết định số 726/QĐ-UBND ngày 15/7/2019 với tổng mức đầu tư 87.000 triệu đồng. Kế hoạch vốn đầu tư công trung hạn giai đoạn 2016-2020 của dự án là 30.000 triệu đồng, đến nay dự án chưa được bố trí vốn. </w:t>
      </w:r>
      <w:r w:rsidRPr="000C019E">
        <w:rPr>
          <w:szCs w:val="14"/>
        </w:rPr>
        <w:t xml:space="preserve">Dự án đã được ký kết </w:t>
      </w:r>
      <w:r w:rsidRPr="000C019E">
        <w:t>hợp đồng xây lắp với giá trị gói thầu 45.566 triệu đồng; hiện dự án đang triển khai thực hiện công tác bồi thường, giải phóng mặt bằng.</w:t>
      </w:r>
    </w:p>
  </w:footnote>
  <w:footnote w:id="9">
    <w:p w:rsidR="00230513" w:rsidRPr="000C019E" w:rsidRDefault="00230513" w:rsidP="00571536">
      <w:pPr>
        <w:pStyle w:val="FootnoteText"/>
        <w:spacing w:before="0"/>
        <w:jc w:val="both"/>
      </w:pPr>
      <w:r w:rsidRPr="000C019E">
        <w:rPr>
          <w:vertAlign w:val="superscript"/>
        </w:rPr>
        <w:t>(</w:t>
      </w:r>
      <w:r w:rsidRPr="000C019E">
        <w:rPr>
          <w:rStyle w:val="FootnoteReference"/>
        </w:rPr>
        <w:footnoteRef/>
      </w:r>
      <w:r w:rsidRPr="000C019E">
        <w:rPr>
          <w:vertAlign w:val="superscript"/>
        </w:rPr>
        <w:t>)</w:t>
      </w:r>
      <w:r w:rsidRPr="000C019E">
        <w:t xml:space="preserve"> Dự án được Ủy ban nhân dân tỉnh phê duyệt điều chỉnh Báo cáo nghiên cứu khả thi tại Quyết định số 1133/QĐ-UBND ngày 16/11/2020, với tổng mức đầu tư 151.742,516 triệu đồng. Kế hoạch vốn đầu tư công trung hạn giai đoạn 2016-2020 của dự án là 139.365 triệu đồng, đến nay đã được bố trí 74.815 triệu đồng. Chi phí bồi thường đã tạm ứng Quỹ phát triển đất tỉnh số tiền 12.040,541 triệu đồng do Trung tâm phát triển quỹ đất tỉnh làm chủ đầu tư, dự kiến sẽ được bố trí thu hồi ứng từ nguồn tăng thu ngân sách tỉnh năm 2019 còn lại chưa phân bổ (</w:t>
      </w:r>
      <w:r w:rsidRPr="000C019E">
        <w:rPr>
          <w:i/>
          <w:iCs/>
        </w:rPr>
        <w:t>Ủy ban nhân dân tỉnh đã báo Thường trực Hội đồng nhân dân tỉnh tại Tờ trình số 100/TTr-UBND ngày 17/9/2020</w:t>
      </w:r>
      <w:r w:rsidRPr="000C019E">
        <w:rPr>
          <w:iCs/>
        </w:rPr>
        <w:t xml:space="preserve"> </w:t>
      </w:r>
      <w:r w:rsidRPr="000C019E">
        <w:rPr>
          <w:i/>
          <w:iCs/>
        </w:rPr>
        <w:t>và được Thường trực Hội đồng nhân dân tỉnh thống nhất tại Thông báo số 64/TB-TTHĐND ngày 13/10/2020</w:t>
      </w:r>
      <w:r w:rsidRPr="000C019E">
        <w: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C8D" w:rsidRDefault="008E5C8D">
    <w:pPr>
      <w:pStyle w:val="Header"/>
      <w:jc w:val="center"/>
    </w:pPr>
    <w:r>
      <w:rPr>
        <w:noProof w:val="0"/>
      </w:rPr>
      <w:fldChar w:fldCharType="begin"/>
    </w:r>
    <w:r>
      <w:instrText xml:space="preserve"> PAGE   \* MERGEFORMAT </w:instrText>
    </w:r>
    <w:r>
      <w:rPr>
        <w:noProof w:val="0"/>
      </w:rPr>
      <w:fldChar w:fldCharType="separate"/>
    </w:r>
    <w:r w:rsidR="00BD447E">
      <w:t>3</w:t>
    </w:r>
    <w:r>
      <w:fldChar w:fldCharType="end"/>
    </w:r>
  </w:p>
  <w:p w:rsidR="008E5C8D" w:rsidRDefault="008E5C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37B"/>
    <w:rsid w:val="0000064E"/>
    <w:rsid w:val="00000AB2"/>
    <w:rsid w:val="0000186D"/>
    <w:rsid w:val="0000456D"/>
    <w:rsid w:val="00030D1E"/>
    <w:rsid w:val="0003470C"/>
    <w:rsid w:val="000531B6"/>
    <w:rsid w:val="00066701"/>
    <w:rsid w:val="0007313E"/>
    <w:rsid w:val="000C2E67"/>
    <w:rsid w:val="000C4C6D"/>
    <w:rsid w:val="000C7B0A"/>
    <w:rsid w:val="000F60A1"/>
    <w:rsid w:val="00112881"/>
    <w:rsid w:val="0014177C"/>
    <w:rsid w:val="00142A17"/>
    <w:rsid w:val="00147185"/>
    <w:rsid w:val="00150345"/>
    <w:rsid w:val="001671ED"/>
    <w:rsid w:val="001703B6"/>
    <w:rsid w:val="001725C6"/>
    <w:rsid w:val="00173254"/>
    <w:rsid w:val="001917B7"/>
    <w:rsid w:val="001A2F8F"/>
    <w:rsid w:val="001B5AF9"/>
    <w:rsid w:val="001B6190"/>
    <w:rsid w:val="00230513"/>
    <w:rsid w:val="002408D3"/>
    <w:rsid w:val="00242386"/>
    <w:rsid w:val="0024682B"/>
    <w:rsid w:val="002479D2"/>
    <w:rsid w:val="00281692"/>
    <w:rsid w:val="00293B58"/>
    <w:rsid w:val="002950C5"/>
    <w:rsid w:val="002A2CCE"/>
    <w:rsid w:val="002A4BBE"/>
    <w:rsid w:val="002A632C"/>
    <w:rsid w:val="002D03C8"/>
    <w:rsid w:val="002D4899"/>
    <w:rsid w:val="002E1918"/>
    <w:rsid w:val="00317A65"/>
    <w:rsid w:val="00320AEC"/>
    <w:rsid w:val="003256BC"/>
    <w:rsid w:val="00351123"/>
    <w:rsid w:val="003B763D"/>
    <w:rsid w:val="003C07B5"/>
    <w:rsid w:val="003C0C81"/>
    <w:rsid w:val="003C6010"/>
    <w:rsid w:val="003E5C6B"/>
    <w:rsid w:val="00400AA9"/>
    <w:rsid w:val="00422437"/>
    <w:rsid w:val="00442417"/>
    <w:rsid w:val="00447F1E"/>
    <w:rsid w:val="0046154B"/>
    <w:rsid w:val="004B37E7"/>
    <w:rsid w:val="004B42A5"/>
    <w:rsid w:val="004E4773"/>
    <w:rsid w:val="00506454"/>
    <w:rsid w:val="00516E74"/>
    <w:rsid w:val="00521907"/>
    <w:rsid w:val="00526923"/>
    <w:rsid w:val="00533EC8"/>
    <w:rsid w:val="00571536"/>
    <w:rsid w:val="005825F6"/>
    <w:rsid w:val="005E3E83"/>
    <w:rsid w:val="005F0DF3"/>
    <w:rsid w:val="005F151E"/>
    <w:rsid w:val="00622526"/>
    <w:rsid w:val="00643472"/>
    <w:rsid w:val="00681122"/>
    <w:rsid w:val="006A2068"/>
    <w:rsid w:val="006D2E52"/>
    <w:rsid w:val="006F07DE"/>
    <w:rsid w:val="00705B25"/>
    <w:rsid w:val="00720D6B"/>
    <w:rsid w:val="007440D5"/>
    <w:rsid w:val="0076202A"/>
    <w:rsid w:val="00782B2A"/>
    <w:rsid w:val="00790191"/>
    <w:rsid w:val="00797875"/>
    <w:rsid w:val="007A06AE"/>
    <w:rsid w:val="007B1D66"/>
    <w:rsid w:val="007B2643"/>
    <w:rsid w:val="007B2F91"/>
    <w:rsid w:val="007C037B"/>
    <w:rsid w:val="007C2D4E"/>
    <w:rsid w:val="007F7D0F"/>
    <w:rsid w:val="007F7E0F"/>
    <w:rsid w:val="00802B3B"/>
    <w:rsid w:val="00806A1B"/>
    <w:rsid w:val="00821822"/>
    <w:rsid w:val="0082495F"/>
    <w:rsid w:val="00843D97"/>
    <w:rsid w:val="00874EC1"/>
    <w:rsid w:val="008810ED"/>
    <w:rsid w:val="008A3824"/>
    <w:rsid w:val="008C138A"/>
    <w:rsid w:val="008E5C8D"/>
    <w:rsid w:val="008F2DDA"/>
    <w:rsid w:val="00942FC4"/>
    <w:rsid w:val="00951030"/>
    <w:rsid w:val="009722EB"/>
    <w:rsid w:val="00972C89"/>
    <w:rsid w:val="009836FB"/>
    <w:rsid w:val="009B6266"/>
    <w:rsid w:val="009D5D5B"/>
    <w:rsid w:val="00A0328C"/>
    <w:rsid w:val="00A04C98"/>
    <w:rsid w:val="00A43FD7"/>
    <w:rsid w:val="00A64753"/>
    <w:rsid w:val="00A841A5"/>
    <w:rsid w:val="00A84825"/>
    <w:rsid w:val="00AA52A7"/>
    <w:rsid w:val="00AC7E54"/>
    <w:rsid w:val="00AD492C"/>
    <w:rsid w:val="00AD56A9"/>
    <w:rsid w:val="00AD6A4B"/>
    <w:rsid w:val="00AE484C"/>
    <w:rsid w:val="00B06766"/>
    <w:rsid w:val="00B211AC"/>
    <w:rsid w:val="00B23F98"/>
    <w:rsid w:val="00B66DDD"/>
    <w:rsid w:val="00B95768"/>
    <w:rsid w:val="00BA0ECA"/>
    <w:rsid w:val="00BD447E"/>
    <w:rsid w:val="00BD704D"/>
    <w:rsid w:val="00BF4F1F"/>
    <w:rsid w:val="00BF6017"/>
    <w:rsid w:val="00C1104D"/>
    <w:rsid w:val="00C1601C"/>
    <w:rsid w:val="00C46906"/>
    <w:rsid w:val="00CA2BF4"/>
    <w:rsid w:val="00CB18D9"/>
    <w:rsid w:val="00CD5ED1"/>
    <w:rsid w:val="00CE4E96"/>
    <w:rsid w:val="00CE6090"/>
    <w:rsid w:val="00D174A4"/>
    <w:rsid w:val="00D36BC1"/>
    <w:rsid w:val="00D377B2"/>
    <w:rsid w:val="00D41E03"/>
    <w:rsid w:val="00D621B3"/>
    <w:rsid w:val="00D769B5"/>
    <w:rsid w:val="00D775F5"/>
    <w:rsid w:val="00D965C1"/>
    <w:rsid w:val="00DB7779"/>
    <w:rsid w:val="00DD3215"/>
    <w:rsid w:val="00E13E7E"/>
    <w:rsid w:val="00E16E09"/>
    <w:rsid w:val="00E44724"/>
    <w:rsid w:val="00E56C9E"/>
    <w:rsid w:val="00E63ADF"/>
    <w:rsid w:val="00E65C07"/>
    <w:rsid w:val="00E6760A"/>
    <w:rsid w:val="00E749A3"/>
    <w:rsid w:val="00E97176"/>
    <w:rsid w:val="00EA743A"/>
    <w:rsid w:val="00EB214D"/>
    <w:rsid w:val="00EE7560"/>
    <w:rsid w:val="00EE76A4"/>
    <w:rsid w:val="00EF6369"/>
    <w:rsid w:val="00F37EAF"/>
    <w:rsid w:val="00F53883"/>
    <w:rsid w:val="00F85F90"/>
    <w:rsid w:val="00FB206D"/>
    <w:rsid w:val="00FE0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37B"/>
    <w:rPr>
      <w:noProof/>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uiPriority w:val="99"/>
    <w:unhideWhenUsed/>
    <w:qFormat/>
    <w:rsid w:val="007C037B"/>
    <w:pPr>
      <w:spacing w:before="120"/>
    </w:pPr>
    <w:rPr>
      <w:sz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basedOn w:val="DefaultParagraphFont"/>
    <w:link w:val="FootnoteText"/>
    <w:uiPriority w:val="99"/>
    <w:rsid w:val="007C037B"/>
  </w:style>
  <w:style w:type="character" w:styleId="FootnoteReference">
    <w:name w:val="footnote reference"/>
    <w:aliases w:val="Footnote,Footnote text,Ref,de nota al pie,ftref,Footnote Text1,f,BearingPoint,16 Point,Superscript 6 Point,fr,Footnote + Arial,10 pt,Black,Footnote Text11,BVI fnr,(NECG) Footnote Reference,footnote ref,Footnote text + 13 pt,R, BVI fnr"/>
    <w:uiPriority w:val="99"/>
    <w:unhideWhenUsed/>
    <w:qFormat/>
    <w:rsid w:val="007C037B"/>
    <w:rPr>
      <w:vertAlign w:val="superscript"/>
    </w:rPr>
  </w:style>
  <w:style w:type="paragraph" w:styleId="Header">
    <w:name w:val="header"/>
    <w:basedOn w:val="Normal"/>
    <w:link w:val="HeaderChar"/>
    <w:uiPriority w:val="99"/>
    <w:unhideWhenUsed/>
    <w:rsid w:val="007C037B"/>
    <w:pPr>
      <w:tabs>
        <w:tab w:val="center" w:pos="4680"/>
        <w:tab w:val="right" w:pos="9360"/>
      </w:tabs>
    </w:pPr>
  </w:style>
  <w:style w:type="character" w:customStyle="1" w:styleId="HeaderChar">
    <w:name w:val="Header Char"/>
    <w:link w:val="Header"/>
    <w:uiPriority w:val="99"/>
    <w:rsid w:val="007C037B"/>
    <w:rPr>
      <w:sz w:val="28"/>
    </w:rPr>
  </w:style>
  <w:style w:type="paragraph" w:styleId="Footer">
    <w:name w:val="footer"/>
    <w:basedOn w:val="Normal"/>
    <w:link w:val="FooterChar"/>
    <w:uiPriority w:val="99"/>
    <w:unhideWhenUsed/>
    <w:rsid w:val="00EE76A4"/>
    <w:pPr>
      <w:tabs>
        <w:tab w:val="center" w:pos="4680"/>
        <w:tab w:val="right" w:pos="9360"/>
      </w:tabs>
    </w:pPr>
  </w:style>
  <w:style w:type="character" w:customStyle="1" w:styleId="FooterChar">
    <w:name w:val="Footer Char"/>
    <w:basedOn w:val="DefaultParagraphFont"/>
    <w:link w:val="Footer"/>
    <w:uiPriority w:val="99"/>
    <w:rsid w:val="00EE76A4"/>
    <w:rPr>
      <w:sz w:val="28"/>
    </w:rPr>
  </w:style>
  <w:style w:type="paragraph" w:styleId="ListParagraph">
    <w:name w:val="List Paragraph"/>
    <w:basedOn w:val="Normal"/>
    <w:uiPriority w:val="34"/>
    <w:qFormat/>
    <w:rsid w:val="00BF4F1F"/>
    <w:pPr>
      <w:ind w:left="720"/>
      <w:contextualSpacing/>
    </w:pPr>
  </w:style>
  <w:style w:type="paragraph" w:styleId="BalloonText">
    <w:name w:val="Balloon Text"/>
    <w:basedOn w:val="Normal"/>
    <w:link w:val="BalloonTextChar"/>
    <w:uiPriority w:val="99"/>
    <w:semiHidden/>
    <w:unhideWhenUsed/>
    <w:rsid w:val="00AD56A9"/>
    <w:rPr>
      <w:rFonts w:ascii="Tahoma" w:hAnsi="Tahoma" w:cs="Tahoma"/>
      <w:sz w:val="16"/>
      <w:szCs w:val="16"/>
    </w:rPr>
  </w:style>
  <w:style w:type="character" w:customStyle="1" w:styleId="BalloonTextChar">
    <w:name w:val="Balloon Text Char"/>
    <w:basedOn w:val="DefaultParagraphFont"/>
    <w:link w:val="BalloonText"/>
    <w:uiPriority w:val="99"/>
    <w:semiHidden/>
    <w:rsid w:val="00AD56A9"/>
    <w:rPr>
      <w:rFonts w:ascii="Tahoma" w:hAnsi="Tahoma" w:cs="Tahoma"/>
      <w:noProof/>
      <w:sz w:val="16"/>
      <w:szCs w:val="16"/>
      <w:lang w:val="vi-VN"/>
    </w:rPr>
  </w:style>
  <w:style w:type="paragraph" w:customStyle="1" w:styleId="Befor-After">
    <w:name w:val="Befor-After"/>
    <w:basedOn w:val="Normal"/>
    <w:qFormat/>
    <w:rsid w:val="003256BC"/>
    <w:pPr>
      <w:spacing w:before="120" w:after="120"/>
      <w:jc w:val="both"/>
    </w:pPr>
    <w:rPr>
      <w:rFonts w:eastAsia="Times New Roman"/>
      <w:color w:val="00206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37B"/>
    <w:rPr>
      <w:noProof/>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uiPriority w:val="99"/>
    <w:unhideWhenUsed/>
    <w:qFormat/>
    <w:rsid w:val="007C037B"/>
    <w:pPr>
      <w:spacing w:before="120"/>
    </w:pPr>
    <w:rPr>
      <w:sz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basedOn w:val="DefaultParagraphFont"/>
    <w:link w:val="FootnoteText"/>
    <w:uiPriority w:val="99"/>
    <w:rsid w:val="007C037B"/>
  </w:style>
  <w:style w:type="character" w:styleId="FootnoteReference">
    <w:name w:val="footnote reference"/>
    <w:aliases w:val="Footnote,Footnote text,Ref,de nota al pie,ftref,Footnote Text1,f,BearingPoint,16 Point,Superscript 6 Point,fr,Footnote + Arial,10 pt,Black,Footnote Text11,BVI fnr,(NECG) Footnote Reference,footnote ref,Footnote text + 13 pt,R, BVI fnr"/>
    <w:uiPriority w:val="99"/>
    <w:unhideWhenUsed/>
    <w:qFormat/>
    <w:rsid w:val="007C037B"/>
    <w:rPr>
      <w:vertAlign w:val="superscript"/>
    </w:rPr>
  </w:style>
  <w:style w:type="paragraph" w:styleId="Header">
    <w:name w:val="header"/>
    <w:basedOn w:val="Normal"/>
    <w:link w:val="HeaderChar"/>
    <w:uiPriority w:val="99"/>
    <w:unhideWhenUsed/>
    <w:rsid w:val="007C037B"/>
    <w:pPr>
      <w:tabs>
        <w:tab w:val="center" w:pos="4680"/>
        <w:tab w:val="right" w:pos="9360"/>
      </w:tabs>
    </w:pPr>
  </w:style>
  <w:style w:type="character" w:customStyle="1" w:styleId="HeaderChar">
    <w:name w:val="Header Char"/>
    <w:link w:val="Header"/>
    <w:uiPriority w:val="99"/>
    <w:rsid w:val="007C037B"/>
    <w:rPr>
      <w:sz w:val="28"/>
    </w:rPr>
  </w:style>
  <w:style w:type="paragraph" w:styleId="Footer">
    <w:name w:val="footer"/>
    <w:basedOn w:val="Normal"/>
    <w:link w:val="FooterChar"/>
    <w:uiPriority w:val="99"/>
    <w:unhideWhenUsed/>
    <w:rsid w:val="00EE76A4"/>
    <w:pPr>
      <w:tabs>
        <w:tab w:val="center" w:pos="4680"/>
        <w:tab w:val="right" w:pos="9360"/>
      </w:tabs>
    </w:pPr>
  </w:style>
  <w:style w:type="character" w:customStyle="1" w:styleId="FooterChar">
    <w:name w:val="Footer Char"/>
    <w:basedOn w:val="DefaultParagraphFont"/>
    <w:link w:val="Footer"/>
    <w:uiPriority w:val="99"/>
    <w:rsid w:val="00EE76A4"/>
    <w:rPr>
      <w:sz w:val="28"/>
    </w:rPr>
  </w:style>
  <w:style w:type="paragraph" w:styleId="ListParagraph">
    <w:name w:val="List Paragraph"/>
    <w:basedOn w:val="Normal"/>
    <w:uiPriority w:val="34"/>
    <w:qFormat/>
    <w:rsid w:val="00BF4F1F"/>
    <w:pPr>
      <w:ind w:left="720"/>
      <w:contextualSpacing/>
    </w:pPr>
  </w:style>
  <w:style w:type="paragraph" w:styleId="BalloonText">
    <w:name w:val="Balloon Text"/>
    <w:basedOn w:val="Normal"/>
    <w:link w:val="BalloonTextChar"/>
    <w:uiPriority w:val="99"/>
    <w:semiHidden/>
    <w:unhideWhenUsed/>
    <w:rsid w:val="00AD56A9"/>
    <w:rPr>
      <w:rFonts w:ascii="Tahoma" w:hAnsi="Tahoma" w:cs="Tahoma"/>
      <w:sz w:val="16"/>
      <w:szCs w:val="16"/>
    </w:rPr>
  </w:style>
  <w:style w:type="character" w:customStyle="1" w:styleId="BalloonTextChar">
    <w:name w:val="Balloon Text Char"/>
    <w:basedOn w:val="DefaultParagraphFont"/>
    <w:link w:val="BalloonText"/>
    <w:uiPriority w:val="99"/>
    <w:semiHidden/>
    <w:rsid w:val="00AD56A9"/>
    <w:rPr>
      <w:rFonts w:ascii="Tahoma" w:hAnsi="Tahoma" w:cs="Tahoma"/>
      <w:noProof/>
      <w:sz w:val="16"/>
      <w:szCs w:val="16"/>
      <w:lang w:val="vi-VN"/>
    </w:rPr>
  </w:style>
  <w:style w:type="paragraph" w:customStyle="1" w:styleId="Befor-After">
    <w:name w:val="Befor-After"/>
    <w:basedOn w:val="Normal"/>
    <w:qFormat/>
    <w:rsid w:val="003256BC"/>
    <w:pPr>
      <w:spacing w:before="120" w:after="120"/>
      <w:jc w:val="both"/>
    </w:pPr>
    <w:rPr>
      <w:rFonts w:eastAsia="Times New Roman"/>
      <w:color w:val="00206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1948">
      <w:bodyDiv w:val="1"/>
      <w:marLeft w:val="0"/>
      <w:marRight w:val="0"/>
      <w:marTop w:val="0"/>
      <w:marBottom w:val="0"/>
      <w:divBdr>
        <w:top w:val="none" w:sz="0" w:space="0" w:color="auto"/>
        <w:left w:val="none" w:sz="0" w:space="0" w:color="auto"/>
        <w:bottom w:val="none" w:sz="0" w:space="0" w:color="auto"/>
        <w:right w:val="none" w:sz="0" w:space="0" w:color="auto"/>
      </w:divBdr>
    </w:div>
    <w:div w:id="975186533">
      <w:bodyDiv w:val="1"/>
      <w:marLeft w:val="0"/>
      <w:marRight w:val="0"/>
      <w:marTop w:val="0"/>
      <w:marBottom w:val="0"/>
      <w:divBdr>
        <w:top w:val="none" w:sz="0" w:space="0" w:color="auto"/>
        <w:left w:val="none" w:sz="0" w:space="0" w:color="auto"/>
        <w:bottom w:val="none" w:sz="0" w:space="0" w:color="auto"/>
        <w:right w:val="none" w:sz="0" w:space="0" w:color="auto"/>
      </w:divBdr>
    </w:div>
    <w:div w:id="1030109474">
      <w:bodyDiv w:val="1"/>
      <w:marLeft w:val="0"/>
      <w:marRight w:val="0"/>
      <w:marTop w:val="0"/>
      <w:marBottom w:val="0"/>
      <w:divBdr>
        <w:top w:val="none" w:sz="0" w:space="0" w:color="auto"/>
        <w:left w:val="none" w:sz="0" w:space="0" w:color="auto"/>
        <w:bottom w:val="none" w:sz="0" w:space="0" w:color="auto"/>
        <w:right w:val="none" w:sz="0" w:space="0" w:color="auto"/>
      </w:divBdr>
    </w:div>
    <w:div w:id="1136096591">
      <w:bodyDiv w:val="1"/>
      <w:marLeft w:val="0"/>
      <w:marRight w:val="0"/>
      <w:marTop w:val="0"/>
      <w:marBottom w:val="0"/>
      <w:divBdr>
        <w:top w:val="none" w:sz="0" w:space="0" w:color="auto"/>
        <w:left w:val="none" w:sz="0" w:space="0" w:color="auto"/>
        <w:bottom w:val="none" w:sz="0" w:space="0" w:color="auto"/>
        <w:right w:val="none" w:sz="0" w:space="0" w:color="auto"/>
      </w:divBdr>
    </w:div>
    <w:div w:id="146488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2020-06-30T04:12:00Z</cp:lastPrinted>
  <dcterms:created xsi:type="dcterms:W3CDTF">2020-12-02T06:43:00Z</dcterms:created>
  <dcterms:modified xsi:type="dcterms:W3CDTF">2020-12-02T09:02:00Z</dcterms:modified>
</cp:coreProperties>
</file>