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58"/>
        <w:gridCol w:w="3040"/>
        <w:gridCol w:w="2525"/>
        <w:gridCol w:w="4185"/>
      </w:tblGrid>
      <w:tr w:rsidR="00B96E5C" w:rsidRPr="00D36365" w14:paraId="705D9B8B" w14:textId="77777777" w:rsidTr="00B17C7F">
        <w:trPr>
          <w:trHeight w:val="89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A1E2" w14:textId="7318F51F" w:rsidR="00C66E78" w:rsidRDefault="00C66E78" w:rsidP="00266155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BIỂU TỔNG HỢP MỨC CHI </w:t>
            </w:r>
            <w:r w:rsidR="00B96E5C" w:rsidRPr="00D36365">
              <w:rPr>
                <w:b/>
                <w:bCs/>
                <w:sz w:val="28"/>
                <w:szCs w:val="28"/>
              </w:rPr>
              <w:t xml:space="preserve">CHẾ ĐỘ DINH DƯỠNG </w:t>
            </w:r>
            <w:r w:rsidR="00C3363C" w:rsidRPr="00C3363C">
              <w:rPr>
                <w:b/>
                <w:bCs/>
                <w:sz w:val="28"/>
                <w:szCs w:val="28"/>
              </w:rPr>
              <w:t>ĐẶC THÙ</w:t>
            </w:r>
          </w:p>
          <w:p w14:paraId="13032797" w14:textId="77777777" w:rsidR="00C94A12" w:rsidRDefault="00C3363C" w:rsidP="00C94A12">
            <w:pPr>
              <w:jc w:val="center"/>
              <w:rPr>
                <w:b/>
                <w:bCs/>
                <w:sz w:val="28"/>
                <w:szCs w:val="28"/>
              </w:rPr>
            </w:pPr>
            <w:r w:rsidRPr="00C3363C">
              <w:rPr>
                <w:b/>
                <w:bCs/>
                <w:sz w:val="28"/>
                <w:szCs w:val="28"/>
              </w:rPr>
              <w:t>CHO</w:t>
            </w:r>
            <w:r w:rsidR="00C66E78">
              <w:rPr>
                <w:b/>
                <w:bCs/>
                <w:sz w:val="28"/>
                <w:szCs w:val="28"/>
              </w:rPr>
              <w:t xml:space="preserve"> </w:t>
            </w:r>
            <w:r w:rsidRPr="00C3363C">
              <w:rPr>
                <w:b/>
                <w:bCs/>
                <w:sz w:val="28"/>
                <w:szCs w:val="28"/>
              </w:rPr>
              <w:t xml:space="preserve">CÁC ĐỐI TƯỢNG HUẤN LUYỆN VIÊN, VẬN ĐỘNG VIÊN THỂ THAO </w:t>
            </w:r>
          </w:p>
          <w:p w14:paraId="3B98CF83" w14:textId="7B1286BF" w:rsidR="00B96E5C" w:rsidRPr="00D36365" w:rsidRDefault="00C94A12" w:rsidP="00C94A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KHÁC </w:t>
            </w:r>
            <w:r w:rsidR="00C3363C" w:rsidRPr="00C3363C">
              <w:rPr>
                <w:b/>
                <w:bCs/>
                <w:sz w:val="28"/>
                <w:szCs w:val="28"/>
              </w:rPr>
              <w:t>ĐANG TẬP TRUNG TẬP HUẤN, THI ĐẤU CỦA TỈNH KON TUM</w:t>
            </w:r>
          </w:p>
        </w:tc>
      </w:tr>
      <w:tr w:rsidR="00B96E5C" w:rsidRPr="00D36365" w14:paraId="75EB7AF1" w14:textId="77777777" w:rsidTr="00B17C7F">
        <w:trPr>
          <w:trHeight w:val="450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439" w14:textId="1173BA29" w:rsidR="00B96E5C" w:rsidRPr="00D36365" w:rsidRDefault="00B96E5C" w:rsidP="007673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(Kèm theo Tờ trình số </w:t>
            </w:r>
            <w:r w:rsidR="00977AF1">
              <w:rPr>
                <w:i/>
                <w:iCs/>
                <w:sz w:val="28"/>
                <w:szCs w:val="28"/>
              </w:rPr>
              <w:t xml:space="preserve">154 </w:t>
            </w:r>
            <w:r>
              <w:rPr>
                <w:i/>
                <w:iCs/>
                <w:sz w:val="28"/>
                <w:szCs w:val="28"/>
              </w:rPr>
              <w:t xml:space="preserve">/TTr-UBND ngày </w:t>
            </w:r>
            <w:r w:rsidR="00977AF1">
              <w:rPr>
                <w:i/>
                <w:iCs/>
                <w:sz w:val="28"/>
                <w:szCs w:val="28"/>
              </w:rPr>
              <w:t xml:space="preserve">27 </w:t>
            </w:r>
            <w:r>
              <w:rPr>
                <w:i/>
                <w:iCs/>
                <w:sz w:val="28"/>
                <w:szCs w:val="28"/>
              </w:rPr>
              <w:t>/</w:t>
            </w:r>
            <w:r w:rsidR="00767309">
              <w:rPr>
                <w:i/>
                <w:iCs/>
                <w:sz w:val="28"/>
                <w:szCs w:val="28"/>
              </w:rPr>
              <w:t xml:space="preserve"> </w:t>
            </w:r>
            <w:r w:rsidR="00977AF1">
              <w:rPr>
                <w:i/>
                <w:iCs/>
                <w:sz w:val="28"/>
                <w:szCs w:val="28"/>
              </w:rPr>
              <w:t>11</w:t>
            </w:r>
            <w:r w:rsidR="00767309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/2020 của UBND tỉnh Kon Tum)</w:t>
            </w:r>
          </w:p>
        </w:tc>
      </w:tr>
      <w:tr w:rsidR="00B96E5C" w:rsidRPr="00D36365" w14:paraId="225C2179" w14:textId="77777777" w:rsidTr="00B17C7F">
        <w:trPr>
          <w:trHeight w:val="2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6064" w14:textId="77777777" w:rsidR="00B96E5C" w:rsidRPr="00D36365" w:rsidRDefault="00B96E5C" w:rsidP="00266155">
            <w:pPr>
              <w:jc w:val="center"/>
              <w:rPr>
                <w:i/>
                <w:iCs/>
                <w:sz w:val="28"/>
                <w:szCs w:val="28"/>
              </w:rPr>
            </w:pPr>
            <w:r w:rsidRPr="00D3636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6CB73" w14:textId="77777777" w:rsidR="00B96E5C" w:rsidRPr="00D36365" w:rsidRDefault="00B96E5C" w:rsidP="00266155">
            <w:pPr>
              <w:jc w:val="center"/>
              <w:rPr>
                <w:i/>
                <w:iCs/>
                <w:sz w:val="28"/>
                <w:szCs w:val="28"/>
              </w:rPr>
            </w:pPr>
            <w:r w:rsidRPr="00D3636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BC90" w14:textId="77777777" w:rsidR="00B96E5C" w:rsidRPr="00D36365" w:rsidRDefault="00B96E5C" w:rsidP="00266155">
            <w:pPr>
              <w:jc w:val="center"/>
              <w:rPr>
                <w:i/>
                <w:iCs/>
                <w:sz w:val="28"/>
                <w:szCs w:val="28"/>
              </w:rPr>
            </w:pPr>
            <w:r w:rsidRPr="00D3636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CC95" w14:textId="77777777" w:rsidR="00B96E5C" w:rsidRPr="00D36365" w:rsidRDefault="00B96E5C" w:rsidP="00266155">
            <w:pPr>
              <w:jc w:val="center"/>
              <w:rPr>
                <w:i/>
                <w:iCs/>
                <w:sz w:val="28"/>
                <w:szCs w:val="28"/>
              </w:rPr>
            </w:pPr>
            <w:r w:rsidRPr="00D3636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A5C1B" w14:textId="77777777" w:rsidR="00B96E5C" w:rsidRPr="00D36365" w:rsidRDefault="00B96E5C" w:rsidP="00266155">
            <w:pPr>
              <w:jc w:val="center"/>
              <w:rPr>
                <w:i/>
                <w:iCs/>
                <w:sz w:val="28"/>
                <w:szCs w:val="28"/>
              </w:rPr>
            </w:pPr>
            <w:r w:rsidRPr="00D3636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B96E5C" w:rsidRPr="00D36365" w14:paraId="174D3E25" w14:textId="77777777" w:rsidTr="00B17C7F">
        <w:trPr>
          <w:trHeight w:val="14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7CD222" w14:textId="77777777" w:rsidR="00B96E5C" w:rsidRPr="00D36365" w:rsidRDefault="00B96E5C" w:rsidP="00266155">
            <w:pPr>
              <w:jc w:val="center"/>
              <w:rPr>
                <w:b/>
                <w:bCs/>
                <w:sz w:val="22"/>
                <w:szCs w:val="22"/>
              </w:rPr>
            </w:pPr>
            <w:r w:rsidRPr="00D36365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963E84" w14:textId="77777777" w:rsidR="00B96E5C" w:rsidRPr="00D36365" w:rsidRDefault="00B96E5C" w:rsidP="00266155">
            <w:pPr>
              <w:jc w:val="center"/>
              <w:rPr>
                <w:b/>
                <w:bCs/>
                <w:sz w:val="22"/>
                <w:szCs w:val="22"/>
              </w:rPr>
            </w:pPr>
            <w:r w:rsidRPr="00D36365">
              <w:rPr>
                <w:b/>
                <w:bCs/>
                <w:sz w:val="22"/>
                <w:szCs w:val="22"/>
              </w:rPr>
              <w:t>NỘI DUNG VÀ MỨC CHI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E91176" w14:textId="670BB561" w:rsidR="00B96E5C" w:rsidRPr="00D36365" w:rsidRDefault="00F843CB" w:rsidP="00E05E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</w:t>
            </w:r>
            <w:r w:rsidR="00B96E5C" w:rsidRPr="00D36365">
              <w:rPr>
                <w:b/>
                <w:bCs/>
                <w:sz w:val="22"/>
                <w:szCs w:val="22"/>
              </w:rPr>
              <w:t xml:space="preserve">uy định tại </w:t>
            </w:r>
            <w:r w:rsidR="00E05E50">
              <w:rPr>
                <w:b/>
                <w:bCs/>
                <w:sz w:val="22"/>
                <w:szCs w:val="22"/>
              </w:rPr>
              <w:t xml:space="preserve">                      </w:t>
            </w:r>
            <w:r w:rsidR="00B96E5C" w:rsidRPr="00D36365">
              <w:rPr>
                <w:b/>
                <w:bCs/>
                <w:sz w:val="22"/>
                <w:szCs w:val="22"/>
              </w:rPr>
              <w:t xml:space="preserve">Thông tư số </w:t>
            </w:r>
            <w:r w:rsidR="00B96E5C">
              <w:rPr>
                <w:b/>
                <w:bCs/>
                <w:sz w:val="22"/>
                <w:szCs w:val="22"/>
              </w:rPr>
              <w:t>86</w:t>
            </w:r>
            <w:r w:rsidR="00B96E5C" w:rsidRPr="00D36365">
              <w:rPr>
                <w:b/>
                <w:bCs/>
                <w:sz w:val="22"/>
                <w:szCs w:val="22"/>
              </w:rPr>
              <w:t>/20</w:t>
            </w:r>
            <w:r w:rsidR="00B96E5C">
              <w:rPr>
                <w:b/>
                <w:bCs/>
                <w:sz w:val="22"/>
                <w:szCs w:val="22"/>
              </w:rPr>
              <w:t>20</w:t>
            </w:r>
            <w:r w:rsidR="00E05E50">
              <w:rPr>
                <w:b/>
                <w:bCs/>
                <w:sz w:val="22"/>
                <w:szCs w:val="22"/>
              </w:rPr>
              <w:t xml:space="preserve">/TT-BTC 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4FCEF5" w14:textId="645ED014" w:rsidR="00B96E5C" w:rsidRPr="00D36365" w:rsidRDefault="00B96E5C" w:rsidP="00266155">
            <w:pPr>
              <w:jc w:val="center"/>
              <w:rPr>
                <w:b/>
                <w:bCs/>
                <w:sz w:val="22"/>
                <w:szCs w:val="22"/>
              </w:rPr>
            </w:pPr>
            <w:r w:rsidRPr="00D36365">
              <w:rPr>
                <w:b/>
                <w:bCs/>
                <w:sz w:val="22"/>
                <w:szCs w:val="22"/>
              </w:rPr>
              <w:t xml:space="preserve">Mức chi  đề nghị  </w:t>
            </w:r>
            <w:r w:rsidR="00E05E50">
              <w:rPr>
                <w:b/>
                <w:bCs/>
                <w:sz w:val="22"/>
                <w:szCs w:val="22"/>
              </w:rPr>
              <w:t xml:space="preserve">    </w:t>
            </w:r>
            <w:r w:rsidRPr="00D36365">
              <w:rPr>
                <w:b/>
                <w:bCs/>
                <w:sz w:val="22"/>
                <w:szCs w:val="22"/>
              </w:rPr>
              <w:t>HĐND tỉnh quy định</w:t>
            </w:r>
          </w:p>
        </w:tc>
        <w:tc>
          <w:tcPr>
            <w:tcW w:w="41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C366D8" w14:textId="77777777" w:rsidR="00B96E5C" w:rsidRPr="00D36365" w:rsidRDefault="00B96E5C" w:rsidP="00266155">
            <w:pPr>
              <w:jc w:val="center"/>
              <w:rPr>
                <w:b/>
                <w:bCs/>
                <w:sz w:val="22"/>
                <w:szCs w:val="22"/>
              </w:rPr>
            </w:pPr>
            <w:r w:rsidRPr="00D36365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12013A" w:rsidRPr="00010B29" w14:paraId="4EB44520" w14:textId="77777777" w:rsidTr="00B17C7F">
        <w:trPr>
          <w:trHeight w:val="12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55C479" w14:textId="77777777" w:rsidR="0012013A" w:rsidRPr="00010B29" w:rsidRDefault="0012013A" w:rsidP="00266155">
            <w:pPr>
              <w:jc w:val="center"/>
              <w:rPr>
                <w:color w:val="000000"/>
                <w:sz w:val="22"/>
                <w:szCs w:val="22"/>
              </w:rPr>
            </w:pPr>
            <w:r w:rsidRPr="00010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23" w:type="dxa"/>
            <w:gridSpan w:val="3"/>
            <w:shd w:val="clear" w:color="auto" w:fill="auto"/>
            <w:vAlign w:val="center"/>
            <w:hideMark/>
          </w:tcPr>
          <w:p w14:paraId="4498CAF9" w14:textId="2C69A33B" w:rsidR="0012013A" w:rsidRPr="00010B29" w:rsidRDefault="0012013A" w:rsidP="00C66E78">
            <w:pPr>
              <w:jc w:val="both"/>
              <w:rPr>
                <w:color w:val="000000"/>
                <w:sz w:val="22"/>
                <w:szCs w:val="22"/>
              </w:rPr>
            </w:pPr>
            <w:r w:rsidRPr="00010B29">
              <w:rPr>
                <w:color w:val="000000"/>
                <w:sz w:val="22"/>
                <w:szCs w:val="22"/>
              </w:rPr>
              <w:t>Mức chi chế độ dinh dưỡng đối với huấn luyện viên, vận động viên trong thời gian tập trung huấn luyện, mức chi cụ thể như sau: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4AF9357" w14:textId="77777777" w:rsidR="0012013A" w:rsidRPr="00010B29" w:rsidRDefault="0012013A" w:rsidP="0026615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013A" w:rsidRPr="00D36365" w14:paraId="2F42ACB6" w14:textId="77777777" w:rsidTr="00B17C7F">
        <w:trPr>
          <w:trHeight w:val="3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CB244" w14:textId="77777777" w:rsidR="0012013A" w:rsidRPr="00D36365" w:rsidRDefault="0012013A" w:rsidP="00BE2A93">
            <w:pPr>
              <w:jc w:val="center"/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58" w:type="dxa"/>
            <w:shd w:val="clear" w:color="auto" w:fill="auto"/>
            <w:noWrap/>
            <w:vAlign w:val="center"/>
            <w:hideMark/>
          </w:tcPr>
          <w:p w14:paraId="6BDFCC24" w14:textId="157C0801" w:rsidR="0012013A" w:rsidRPr="00D36365" w:rsidRDefault="0012013A" w:rsidP="00BE2A93">
            <w:pPr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>Đội tuyển năng khiếu</w:t>
            </w:r>
          </w:p>
        </w:tc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14:paraId="03A78196" w14:textId="52DBE835" w:rsidR="0012013A" w:rsidRPr="00D36365" w:rsidRDefault="00B17C7F" w:rsidP="00BE2A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Tại Khoản 2 Điều 6: </w:t>
            </w:r>
            <w:r w:rsidR="0012013A">
              <w:rPr>
                <w:color w:val="000000"/>
                <w:sz w:val="22"/>
                <w:szCs w:val="22"/>
              </w:rPr>
              <w:t>Căn cứ vào nhiệm vụ và khả năng cân đối ngân sách địa phương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4C22F863" w14:textId="48DC4208" w:rsidR="0012013A" w:rsidRPr="00D36365" w:rsidRDefault="0012013A" w:rsidP="00BE2A93">
            <w:pPr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36365">
              <w:rPr>
                <w:color w:val="000000"/>
                <w:sz w:val="22"/>
                <w:szCs w:val="22"/>
              </w:rPr>
              <w:t>0.000 đồng/ngày/người</w:t>
            </w:r>
          </w:p>
        </w:tc>
        <w:tc>
          <w:tcPr>
            <w:tcW w:w="4185" w:type="dxa"/>
            <w:vMerge w:val="restart"/>
            <w:shd w:val="clear" w:color="auto" w:fill="auto"/>
            <w:vAlign w:val="center"/>
            <w:hideMark/>
          </w:tcPr>
          <w:p w14:paraId="749FBDD6" w14:textId="72431D8F" w:rsidR="0012013A" w:rsidRPr="00D36365" w:rsidRDefault="0012013A" w:rsidP="00BE2A93">
            <w:pPr>
              <w:jc w:val="both"/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 xml:space="preserve">Áp dụng mức chi bằng 80% so với mức chi vận động viên, huấn luyện viên thể thao thành tích cao cấp tỉnh quy định tại Nghị quyết 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D36365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D36365">
              <w:rPr>
                <w:color w:val="000000"/>
                <w:sz w:val="22"/>
                <w:szCs w:val="22"/>
              </w:rPr>
              <w:t xml:space="preserve">/NQ-HĐND ngày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D3636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36365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</w:rPr>
              <w:t xml:space="preserve">8 của Hội đồng nhân dân tỉnh </w:t>
            </w:r>
            <w:r w:rsidRPr="00D36365">
              <w:rPr>
                <w:color w:val="000000"/>
                <w:sz w:val="22"/>
                <w:szCs w:val="22"/>
              </w:rPr>
              <w:t xml:space="preserve">về </w:t>
            </w:r>
            <w:r>
              <w:rPr>
                <w:color w:val="000000"/>
                <w:sz w:val="22"/>
                <w:szCs w:val="22"/>
              </w:rPr>
              <w:t xml:space="preserve">Quy định mức chi và </w:t>
            </w:r>
            <w:r w:rsidRPr="00D36365">
              <w:rPr>
                <w:color w:val="000000"/>
                <w:sz w:val="22"/>
                <w:szCs w:val="22"/>
              </w:rPr>
              <w:t xml:space="preserve">chế độ dinh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D36365">
              <w:rPr>
                <w:color w:val="000000"/>
                <w:sz w:val="22"/>
                <w:szCs w:val="22"/>
              </w:rPr>
              <w:t xml:space="preserve">ưỡng đối với </w:t>
            </w:r>
            <w:r>
              <w:rPr>
                <w:color w:val="000000"/>
                <w:sz w:val="22"/>
                <w:szCs w:val="22"/>
              </w:rPr>
              <w:t xml:space="preserve">huấn luyện viên, </w:t>
            </w:r>
            <w:r w:rsidRPr="00D36365">
              <w:rPr>
                <w:color w:val="000000"/>
                <w:sz w:val="22"/>
                <w:szCs w:val="22"/>
              </w:rPr>
              <w:t>vận động viên thể thao thành tích cao tỉnh Kon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6365">
              <w:rPr>
                <w:color w:val="000000"/>
                <w:sz w:val="22"/>
                <w:szCs w:val="22"/>
              </w:rPr>
              <w:t>Tum</w:t>
            </w:r>
          </w:p>
        </w:tc>
      </w:tr>
      <w:tr w:rsidR="0012013A" w:rsidRPr="00D36365" w14:paraId="2E985125" w14:textId="77777777" w:rsidTr="00B17C7F">
        <w:trPr>
          <w:trHeight w:val="350"/>
        </w:trPr>
        <w:tc>
          <w:tcPr>
            <w:tcW w:w="567" w:type="dxa"/>
            <w:shd w:val="clear" w:color="auto" w:fill="auto"/>
            <w:noWrap/>
            <w:vAlign w:val="center"/>
          </w:tcPr>
          <w:p w14:paraId="588FF774" w14:textId="4B3315BA" w:rsidR="0012013A" w:rsidRPr="00D36365" w:rsidRDefault="0012013A" w:rsidP="00CB7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58" w:type="dxa"/>
            <w:shd w:val="clear" w:color="auto" w:fill="auto"/>
            <w:noWrap/>
            <w:vAlign w:val="center"/>
          </w:tcPr>
          <w:p w14:paraId="261508BD" w14:textId="7B63EA3B" w:rsidR="0012013A" w:rsidRPr="00D36365" w:rsidRDefault="0012013A" w:rsidP="00CB7CFB">
            <w:pPr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 xml:space="preserve">Đội tuyển </w:t>
            </w:r>
            <w:r>
              <w:rPr>
                <w:color w:val="000000"/>
                <w:sz w:val="22"/>
                <w:szCs w:val="22"/>
              </w:rPr>
              <w:t>cấp huyện</w:t>
            </w:r>
          </w:p>
        </w:tc>
        <w:tc>
          <w:tcPr>
            <w:tcW w:w="3040" w:type="dxa"/>
            <w:vMerge/>
            <w:shd w:val="clear" w:color="auto" w:fill="auto"/>
            <w:noWrap/>
            <w:vAlign w:val="center"/>
          </w:tcPr>
          <w:p w14:paraId="0FFD0E35" w14:textId="77777777" w:rsidR="0012013A" w:rsidRPr="00D36365" w:rsidRDefault="0012013A" w:rsidP="00CB7C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  <w:noWrap/>
            <w:vAlign w:val="center"/>
          </w:tcPr>
          <w:p w14:paraId="7A16CF08" w14:textId="15F79094" w:rsidR="0012013A" w:rsidRPr="00D36365" w:rsidRDefault="0012013A" w:rsidP="00CB7CFB">
            <w:pPr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D36365">
              <w:rPr>
                <w:color w:val="000000"/>
                <w:sz w:val="22"/>
                <w:szCs w:val="22"/>
              </w:rPr>
              <w:t>0.000 đồng/ngày/người</w:t>
            </w:r>
          </w:p>
        </w:tc>
        <w:tc>
          <w:tcPr>
            <w:tcW w:w="4185" w:type="dxa"/>
            <w:vMerge/>
            <w:shd w:val="clear" w:color="auto" w:fill="auto"/>
            <w:vAlign w:val="center"/>
          </w:tcPr>
          <w:p w14:paraId="5811668F" w14:textId="77777777" w:rsidR="0012013A" w:rsidRPr="00D36365" w:rsidRDefault="0012013A" w:rsidP="00CB7CF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2013A" w:rsidRPr="00010B29" w14:paraId="2D6CC1DE" w14:textId="77777777" w:rsidTr="00B17C7F">
        <w:trPr>
          <w:trHeight w:val="106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9E15CB" w14:textId="77777777" w:rsidR="0012013A" w:rsidRPr="00010B29" w:rsidRDefault="0012013A" w:rsidP="00CB7CFB">
            <w:pPr>
              <w:jc w:val="center"/>
              <w:rPr>
                <w:color w:val="000000"/>
                <w:sz w:val="22"/>
                <w:szCs w:val="22"/>
              </w:rPr>
            </w:pPr>
            <w:r w:rsidRPr="00010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23" w:type="dxa"/>
            <w:gridSpan w:val="3"/>
            <w:shd w:val="clear" w:color="auto" w:fill="auto"/>
            <w:vAlign w:val="center"/>
            <w:hideMark/>
          </w:tcPr>
          <w:p w14:paraId="4197862C" w14:textId="45D05E66" w:rsidR="0012013A" w:rsidRPr="00010B29" w:rsidRDefault="0012013A" w:rsidP="001330BB">
            <w:pPr>
              <w:jc w:val="both"/>
              <w:rPr>
                <w:color w:val="000000"/>
                <w:sz w:val="22"/>
                <w:szCs w:val="22"/>
              </w:rPr>
            </w:pPr>
            <w:r w:rsidRPr="00010B29">
              <w:rPr>
                <w:color w:val="000000"/>
                <w:sz w:val="22"/>
                <w:szCs w:val="22"/>
              </w:rPr>
              <w:t>Mức chi chế độ dinh dưỡng đối với huấn luyện viên, vận động viên trong thời gian tập trung thi đấu, mức chi cụ thể như sau: 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14:paraId="6D0329F0" w14:textId="77777777" w:rsidR="0012013A" w:rsidRPr="00010B29" w:rsidRDefault="0012013A" w:rsidP="00CB7C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072C" w:rsidRPr="00D36365" w14:paraId="0AB23C03" w14:textId="77777777" w:rsidTr="00B17C7F">
        <w:trPr>
          <w:trHeight w:val="4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423E8D" w14:textId="77777777" w:rsidR="003A072C" w:rsidRPr="00D36365" w:rsidRDefault="003A072C" w:rsidP="00CB7CFB">
            <w:pPr>
              <w:jc w:val="center"/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58" w:type="dxa"/>
            <w:shd w:val="clear" w:color="auto" w:fill="auto"/>
            <w:noWrap/>
            <w:vAlign w:val="center"/>
            <w:hideMark/>
          </w:tcPr>
          <w:p w14:paraId="13666784" w14:textId="77777777" w:rsidR="003A072C" w:rsidRPr="00D36365" w:rsidRDefault="003A072C" w:rsidP="00CB7CFB">
            <w:pPr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>Đội tuyển năng khiếu</w:t>
            </w:r>
          </w:p>
        </w:tc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14:paraId="5A9DE095" w14:textId="7C91C2F0" w:rsidR="003A072C" w:rsidRPr="00D36365" w:rsidRDefault="003A072C" w:rsidP="00CB7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Tại Khoản 2, Điều 6. Căn cứ </w:t>
            </w:r>
            <w:r>
              <w:rPr>
                <w:color w:val="000000"/>
                <w:sz w:val="22"/>
                <w:szCs w:val="22"/>
              </w:rPr>
              <w:lastRenderedPageBreak/>
              <w:t>vào nhiệm vụ và khả năng cân đối ngân sách địa phương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14:paraId="75BDA5B8" w14:textId="77777777" w:rsidR="003A072C" w:rsidRPr="00D36365" w:rsidRDefault="003A072C" w:rsidP="00CB7C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  <w:r w:rsidRPr="00D36365">
              <w:rPr>
                <w:color w:val="000000"/>
                <w:sz w:val="22"/>
                <w:szCs w:val="22"/>
              </w:rPr>
              <w:t>0.000 đồng/ngày/người</w:t>
            </w:r>
          </w:p>
        </w:tc>
        <w:tc>
          <w:tcPr>
            <w:tcW w:w="4185" w:type="dxa"/>
            <w:vAlign w:val="center"/>
            <w:hideMark/>
          </w:tcPr>
          <w:p w14:paraId="078B6BC6" w14:textId="77777777" w:rsidR="003A072C" w:rsidRPr="00D36365" w:rsidRDefault="003A072C" w:rsidP="00CB7CFB">
            <w:pPr>
              <w:rPr>
                <w:color w:val="000000"/>
                <w:sz w:val="22"/>
                <w:szCs w:val="22"/>
              </w:rPr>
            </w:pPr>
          </w:p>
        </w:tc>
      </w:tr>
      <w:tr w:rsidR="003A072C" w:rsidRPr="00D36365" w14:paraId="76ABEBBC" w14:textId="77777777" w:rsidTr="00B17C7F">
        <w:trPr>
          <w:trHeight w:val="17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4F197" w14:textId="31875E4A" w:rsidR="003A072C" w:rsidRPr="00D36365" w:rsidRDefault="003A072C" w:rsidP="00CB7C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14:paraId="22A51808" w14:textId="095E2C34" w:rsidR="003A072C" w:rsidRPr="00D36365" w:rsidRDefault="003A072C" w:rsidP="00CB7CFB">
            <w:pPr>
              <w:jc w:val="both"/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 xml:space="preserve">Đội tuyển </w:t>
            </w:r>
            <w:r w:rsidR="00884997">
              <w:rPr>
                <w:color w:val="000000"/>
                <w:sz w:val="22"/>
                <w:szCs w:val="22"/>
              </w:rPr>
              <w:t xml:space="preserve">cấp </w:t>
            </w:r>
            <w:r>
              <w:rPr>
                <w:color w:val="000000"/>
                <w:sz w:val="22"/>
                <w:szCs w:val="22"/>
              </w:rPr>
              <w:t>huyện</w:t>
            </w:r>
          </w:p>
        </w:tc>
        <w:tc>
          <w:tcPr>
            <w:tcW w:w="3040" w:type="dxa"/>
            <w:vMerge/>
            <w:shd w:val="clear" w:color="auto" w:fill="auto"/>
            <w:vAlign w:val="center"/>
            <w:hideMark/>
          </w:tcPr>
          <w:p w14:paraId="3297AD38" w14:textId="6781E096" w:rsidR="003A072C" w:rsidRPr="00D36365" w:rsidRDefault="003A072C" w:rsidP="00CB7CF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14:paraId="7FDD0DAA" w14:textId="783185D0" w:rsidR="003A072C" w:rsidRPr="00D36365" w:rsidRDefault="003A072C" w:rsidP="00CB7CF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D36365">
              <w:rPr>
                <w:color w:val="000000"/>
                <w:sz w:val="22"/>
                <w:szCs w:val="22"/>
              </w:rPr>
              <w:t>0.000 đồng/ngày/người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14:paraId="5E62282B" w14:textId="381C1A76" w:rsidR="003A072C" w:rsidRPr="00D36365" w:rsidRDefault="003A072C" w:rsidP="00CB7CFB">
            <w:pPr>
              <w:jc w:val="both"/>
              <w:rPr>
                <w:color w:val="000000"/>
                <w:sz w:val="22"/>
                <w:szCs w:val="22"/>
              </w:rPr>
            </w:pPr>
            <w:r w:rsidRPr="00D36365">
              <w:rPr>
                <w:color w:val="000000"/>
                <w:sz w:val="22"/>
                <w:szCs w:val="22"/>
              </w:rPr>
              <w:t xml:space="preserve">Áp dụng mức chi bằng 80% so với mức chi vận động viên, huấn luyện viên thể thao thành tích cao cấp tỉnh quy định tại Nghị quyết 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D36365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D36365">
              <w:rPr>
                <w:color w:val="000000"/>
                <w:sz w:val="22"/>
                <w:szCs w:val="22"/>
              </w:rPr>
              <w:t xml:space="preserve">/NQ-HĐND ngày </w:t>
            </w:r>
            <w:r>
              <w:rPr>
                <w:color w:val="000000"/>
                <w:sz w:val="22"/>
                <w:szCs w:val="22"/>
              </w:rPr>
              <w:t>13</w:t>
            </w:r>
            <w:r w:rsidRPr="00D36365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36365">
              <w:rPr>
                <w:color w:val="000000"/>
                <w:sz w:val="22"/>
                <w:szCs w:val="22"/>
              </w:rPr>
              <w:t>/201</w:t>
            </w:r>
            <w:r>
              <w:rPr>
                <w:color w:val="000000"/>
                <w:sz w:val="22"/>
                <w:szCs w:val="22"/>
              </w:rPr>
              <w:t xml:space="preserve">8 của Hội đồng nhân dân tỉnh </w:t>
            </w:r>
            <w:r w:rsidRPr="00D36365">
              <w:rPr>
                <w:color w:val="000000"/>
                <w:sz w:val="22"/>
                <w:szCs w:val="22"/>
              </w:rPr>
              <w:t xml:space="preserve">về </w:t>
            </w:r>
            <w:r>
              <w:rPr>
                <w:color w:val="000000"/>
                <w:sz w:val="22"/>
                <w:szCs w:val="22"/>
              </w:rPr>
              <w:t xml:space="preserve">Quy định mức chi và </w:t>
            </w:r>
            <w:r w:rsidRPr="00D36365">
              <w:rPr>
                <w:color w:val="000000"/>
                <w:sz w:val="22"/>
                <w:szCs w:val="22"/>
              </w:rPr>
              <w:t xml:space="preserve">chế độ dinh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D36365">
              <w:rPr>
                <w:color w:val="000000"/>
                <w:sz w:val="22"/>
                <w:szCs w:val="22"/>
              </w:rPr>
              <w:t xml:space="preserve">ưỡng đối với </w:t>
            </w:r>
            <w:r>
              <w:rPr>
                <w:color w:val="000000"/>
                <w:sz w:val="22"/>
                <w:szCs w:val="22"/>
              </w:rPr>
              <w:t xml:space="preserve">huấn luyện viên, </w:t>
            </w:r>
            <w:r w:rsidRPr="00D36365">
              <w:rPr>
                <w:color w:val="000000"/>
                <w:sz w:val="22"/>
                <w:szCs w:val="22"/>
              </w:rPr>
              <w:t>vận động viên thể thao thành tích cao tỉnh Kon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6365">
              <w:rPr>
                <w:color w:val="000000"/>
                <w:sz w:val="22"/>
                <w:szCs w:val="22"/>
              </w:rPr>
              <w:t>Tum</w:t>
            </w:r>
          </w:p>
        </w:tc>
      </w:tr>
    </w:tbl>
    <w:p w14:paraId="03410E5D" w14:textId="77777777" w:rsidR="00B96E5C" w:rsidRPr="0075136F" w:rsidRDefault="00B96E5C" w:rsidP="00B96E5C">
      <w:pPr>
        <w:jc w:val="both"/>
        <w:rPr>
          <w:sz w:val="14"/>
          <w:szCs w:val="28"/>
        </w:rPr>
      </w:pPr>
    </w:p>
    <w:p w14:paraId="55B8DDB4" w14:textId="301ACD2D" w:rsidR="003A072C" w:rsidRDefault="00B96E5C" w:rsidP="00B96E5C">
      <w:pPr>
        <w:jc w:val="both"/>
        <w:rPr>
          <w:szCs w:val="28"/>
        </w:rPr>
      </w:pPr>
      <w:r w:rsidRPr="0075136F">
        <w:rPr>
          <w:szCs w:val="28"/>
        </w:rPr>
        <w:t xml:space="preserve">        Thuyết minh về việc đề xuất kinh phí thực hiện chế độ dinh dưỡng đối với</w:t>
      </w:r>
      <w:r w:rsidR="003A072C">
        <w:rPr>
          <w:szCs w:val="28"/>
        </w:rPr>
        <w:t xml:space="preserve"> các</w:t>
      </w:r>
      <w:r w:rsidRPr="0075136F">
        <w:rPr>
          <w:szCs w:val="28"/>
        </w:rPr>
        <w:t xml:space="preserve"> HLV, VĐV thể thao </w:t>
      </w:r>
      <w:r w:rsidR="003A072C">
        <w:rPr>
          <w:szCs w:val="28"/>
        </w:rPr>
        <w:t>của</w:t>
      </w:r>
      <w:r w:rsidRPr="0075136F">
        <w:rPr>
          <w:szCs w:val="28"/>
        </w:rPr>
        <w:t xml:space="preserve"> tỉnh Kon Tum</w:t>
      </w:r>
      <w:r w:rsidR="003A072C">
        <w:rPr>
          <w:szCs w:val="28"/>
        </w:rPr>
        <w:t>:</w:t>
      </w:r>
    </w:p>
    <w:p w14:paraId="6CC80EE3" w14:textId="5658D1F8" w:rsidR="00B96E5C" w:rsidRPr="0075136F" w:rsidRDefault="00B96E5C" w:rsidP="00B96E5C">
      <w:pPr>
        <w:tabs>
          <w:tab w:val="center" w:pos="540"/>
          <w:tab w:val="center" w:pos="6500"/>
        </w:tabs>
        <w:spacing w:before="80" w:after="80"/>
        <w:jc w:val="both"/>
        <w:rPr>
          <w:szCs w:val="28"/>
        </w:rPr>
      </w:pPr>
      <w:r w:rsidRPr="0075136F">
        <w:rPr>
          <w:szCs w:val="28"/>
        </w:rPr>
        <w:tab/>
      </w:r>
      <w:r w:rsidRPr="0075136F">
        <w:rPr>
          <w:szCs w:val="28"/>
        </w:rPr>
        <w:tab/>
      </w:r>
      <w:r w:rsidR="00166396">
        <w:rPr>
          <w:b/>
          <w:szCs w:val="28"/>
        </w:rPr>
        <w:t xml:space="preserve">1. </w:t>
      </w:r>
      <w:r w:rsidRPr="0075136F">
        <w:rPr>
          <w:szCs w:val="28"/>
        </w:rPr>
        <w:t>Việc huy động nguồn kinh phí từ khai thác các nguồn thu hợp pháp khác (</w:t>
      </w:r>
      <w:r w:rsidRPr="0075136F">
        <w:rPr>
          <w:i/>
          <w:szCs w:val="28"/>
        </w:rPr>
        <w:t>ngoài nguồn NSNN đảm bảo</w:t>
      </w:r>
      <w:r w:rsidRPr="0075136F">
        <w:rPr>
          <w:szCs w:val="28"/>
        </w:rPr>
        <w:t>) để bổ sung thêm chế độ dinh dưỡng cho HLV, VĐV</w:t>
      </w:r>
      <w:r w:rsidR="00B17C7F">
        <w:rPr>
          <w:szCs w:val="28"/>
        </w:rPr>
        <w:t xml:space="preserve"> tỉnh Kon Tum là không khả thi </w:t>
      </w:r>
      <w:r w:rsidRPr="0075136F">
        <w:rPr>
          <w:szCs w:val="28"/>
        </w:rPr>
        <w:t>(</w:t>
      </w:r>
      <w:r w:rsidRPr="0075136F">
        <w:rPr>
          <w:i/>
          <w:szCs w:val="28"/>
        </w:rPr>
        <w:t>vì kinh tế các công ty, doanh nghiệp trên địa bản tỉnh còn khó khăn</w:t>
      </w:r>
      <w:r w:rsidR="00B17C7F">
        <w:rPr>
          <w:i/>
          <w:szCs w:val="28"/>
        </w:rPr>
        <w:t xml:space="preserve">, việc </w:t>
      </w:r>
      <w:r w:rsidRPr="0075136F">
        <w:rPr>
          <w:i/>
          <w:szCs w:val="28"/>
        </w:rPr>
        <w:t>xã hội hóa các hoạt động thể thao chưa đạt được kết quả</w:t>
      </w:r>
      <w:r w:rsidRPr="0075136F">
        <w:rPr>
          <w:szCs w:val="28"/>
        </w:rPr>
        <w:t>).</w:t>
      </w:r>
    </w:p>
    <w:p w14:paraId="2335816E" w14:textId="69CD37DC" w:rsidR="00166396" w:rsidRPr="0075136F" w:rsidRDefault="00166396" w:rsidP="00166396">
      <w:pPr>
        <w:ind w:firstLine="567"/>
        <w:jc w:val="both"/>
        <w:rPr>
          <w:szCs w:val="28"/>
        </w:rPr>
      </w:pPr>
      <w:r w:rsidRPr="00166396">
        <w:rPr>
          <w:b/>
          <w:bCs/>
          <w:szCs w:val="28"/>
        </w:rPr>
        <w:t>2</w:t>
      </w:r>
      <w:r w:rsidR="00B96E5C" w:rsidRPr="00166396">
        <w:rPr>
          <w:b/>
          <w:bCs/>
          <w:szCs w:val="28"/>
        </w:rPr>
        <w:t>.</w:t>
      </w:r>
      <w:r w:rsidR="00B96E5C" w:rsidRPr="0075136F">
        <w:rPr>
          <w:szCs w:val="28"/>
        </w:rPr>
        <w:t xml:space="preserve"> Hoạt động tập luyện</w:t>
      </w:r>
      <w:r>
        <w:rPr>
          <w:szCs w:val="28"/>
        </w:rPr>
        <w:t>, thi đấu</w:t>
      </w:r>
      <w:r w:rsidR="00B96E5C" w:rsidRPr="0075136F">
        <w:rPr>
          <w:szCs w:val="28"/>
        </w:rPr>
        <w:t xml:space="preserve"> thể thao là hoạt động đặc thù, cần chế độ dinh dưỡng cao để đảm bảo sức mạnh bền bỉ cho HLV, VĐV</w:t>
      </w:r>
      <w:r>
        <w:rPr>
          <w:szCs w:val="28"/>
        </w:rPr>
        <w:t xml:space="preserve">. Để đảm bảo </w:t>
      </w:r>
      <w:r w:rsidR="00B96E5C" w:rsidRPr="0075136F">
        <w:rPr>
          <w:szCs w:val="28"/>
        </w:rPr>
        <w:t>kinh phí thực hiện chế độ dinh dưỡng</w:t>
      </w:r>
      <w:r>
        <w:rPr>
          <w:szCs w:val="28"/>
        </w:rPr>
        <w:t xml:space="preserve"> </w:t>
      </w:r>
      <w:r w:rsidR="00B96E5C" w:rsidRPr="0075136F">
        <w:rPr>
          <w:szCs w:val="28"/>
        </w:rPr>
        <w:t>cần thiết</w:t>
      </w:r>
      <w:r>
        <w:rPr>
          <w:szCs w:val="28"/>
        </w:rPr>
        <w:t xml:space="preserve"> cho các HLV, VĐV </w:t>
      </w:r>
      <w:r w:rsidR="00C94A12">
        <w:rPr>
          <w:szCs w:val="28"/>
        </w:rPr>
        <w:t xml:space="preserve">khác </w:t>
      </w:r>
      <w:r>
        <w:rPr>
          <w:szCs w:val="28"/>
        </w:rPr>
        <w:t xml:space="preserve">trong thời gian </w:t>
      </w:r>
      <w:r w:rsidR="004611EB">
        <w:rPr>
          <w:szCs w:val="28"/>
        </w:rPr>
        <w:t>tập huấn</w:t>
      </w:r>
      <w:r w:rsidR="002338B2">
        <w:rPr>
          <w:szCs w:val="28"/>
        </w:rPr>
        <w:t>,</w:t>
      </w:r>
      <w:r w:rsidR="004611EB">
        <w:rPr>
          <w:szCs w:val="28"/>
        </w:rPr>
        <w:t xml:space="preserve"> tham gia thi đấu,</w:t>
      </w:r>
      <w:r>
        <w:rPr>
          <w:szCs w:val="28"/>
        </w:rPr>
        <w:t xml:space="preserve"> </w:t>
      </w:r>
      <w:r w:rsidR="00B96E5C" w:rsidRPr="0075136F">
        <w:rPr>
          <w:szCs w:val="28"/>
        </w:rPr>
        <w:t>đề xuất kinh phí do NS</w:t>
      </w:r>
      <w:r w:rsidR="004611EB">
        <w:rPr>
          <w:szCs w:val="28"/>
        </w:rPr>
        <w:t>ĐP</w:t>
      </w:r>
      <w:r w:rsidR="00B96E5C" w:rsidRPr="0075136F">
        <w:rPr>
          <w:szCs w:val="28"/>
        </w:rPr>
        <w:t xml:space="preserve"> đảm bảo để thực hiện chế dộ dinh dưỡng đối với </w:t>
      </w:r>
      <w:r>
        <w:rPr>
          <w:szCs w:val="28"/>
        </w:rPr>
        <w:t xml:space="preserve">các </w:t>
      </w:r>
      <w:r w:rsidR="00B96E5C" w:rsidRPr="0075136F">
        <w:rPr>
          <w:szCs w:val="28"/>
        </w:rPr>
        <w:t>HLV, VĐV thể thao</w:t>
      </w:r>
      <w:r w:rsidR="00C94A12">
        <w:rPr>
          <w:szCs w:val="28"/>
        </w:rPr>
        <w:t xml:space="preserve"> khác</w:t>
      </w:r>
      <w:r w:rsidR="00B96E5C" w:rsidRPr="0075136F">
        <w:rPr>
          <w:szCs w:val="28"/>
        </w:rPr>
        <w:t xml:space="preserve"> </w:t>
      </w:r>
      <w:r>
        <w:rPr>
          <w:szCs w:val="28"/>
        </w:rPr>
        <w:t>của</w:t>
      </w:r>
      <w:r w:rsidR="00B96E5C" w:rsidRPr="0075136F">
        <w:rPr>
          <w:szCs w:val="28"/>
        </w:rPr>
        <w:t xml:space="preserve"> tỉnh Kon Tum</w:t>
      </w:r>
      <w:r>
        <w:rPr>
          <w:szCs w:val="28"/>
        </w:rPr>
        <w:t>, t</w:t>
      </w:r>
      <w:r w:rsidRPr="00010B29">
        <w:rPr>
          <w:color w:val="000000"/>
          <w:sz w:val="22"/>
          <w:szCs w:val="22"/>
        </w:rPr>
        <w:t>rong thời gian tập trung tập luyện</w:t>
      </w:r>
      <w:r w:rsidR="002338B2">
        <w:rPr>
          <w:color w:val="000000"/>
          <w:sz w:val="22"/>
          <w:szCs w:val="22"/>
        </w:rPr>
        <w:t xml:space="preserve"> </w:t>
      </w:r>
      <w:r w:rsidRPr="0075136F">
        <w:rPr>
          <w:szCs w:val="28"/>
        </w:rPr>
        <w:t>bằng</w:t>
      </w:r>
      <w:r>
        <w:rPr>
          <w:szCs w:val="28"/>
        </w:rPr>
        <w:t xml:space="preserve"> 80%</w:t>
      </w:r>
      <w:r w:rsidRPr="0075136F">
        <w:rPr>
          <w:szCs w:val="28"/>
        </w:rPr>
        <w:t xml:space="preserve"> mức quy định </w:t>
      </w:r>
      <w:r>
        <w:rPr>
          <w:szCs w:val="28"/>
        </w:rPr>
        <w:t xml:space="preserve">đội tuyển trẻ tỉnh, ngành </w:t>
      </w:r>
      <w:r w:rsidRPr="0075136F">
        <w:rPr>
          <w:szCs w:val="28"/>
        </w:rPr>
        <w:t xml:space="preserve">tại </w:t>
      </w:r>
      <w:r>
        <w:rPr>
          <w:szCs w:val="28"/>
        </w:rPr>
        <w:t xml:space="preserve">Khoản 1 Điều 3 </w:t>
      </w:r>
      <w:r w:rsidRPr="0075136F">
        <w:rPr>
          <w:szCs w:val="28"/>
        </w:rPr>
        <w:t xml:space="preserve">Thông tư </w:t>
      </w:r>
      <w:r w:rsidRPr="0075136F">
        <w:rPr>
          <w:szCs w:val="28"/>
          <w:lang w:val="nl-NL"/>
        </w:rPr>
        <w:t>số 86/2020/TT-BTC</w:t>
      </w:r>
      <w:r w:rsidR="009C7EEE">
        <w:rPr>
          <w:szCs w:val="28"/>
        </w:rPr>
        <w:t xml:space="preserve">; </w:t>
      </w:r>
      <w:r w:rsidR="00B17C7F"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 xml:space="preserve">rong </w:t>
      </w:r>
      <w:r w:rsidRPr="00010B29">
        <w:rPr>
          <w:color w:val="000000"/>
          <w:sz w:val="22"/>
          <w:szCs w:val="22"/>
        </w:rPr>
        <w:t>thời gian tập trung thi đấu</w:t>
      </w:r>
      <w:r w:rsidRPr="00166396">
        <w:rPr>
          <w:szCs w:val="28"/>
        </w:rPr>
        <w:t xml:space="preserve"> </w:t>
      </w:r>
      <w:r w:rsidRPr="0075136F">
        <w:rPr>
          <w:szCs w:val="28"/>
        </w:rPr>
        <w:t>bằng</w:t>
      </w:r>
      <w:r>
        <w:rPr>
          <w:szCs w:val="28"/>
        </w:rPr>
        <w:t xml:space="preserve"> với</w:t>
      </w:r>
      <w:r w:rsidRPr="0075136F">
        <w:rPr>
          <w:szCs w:val="28"/>
        </w:rPr>
        <w:t xml:space="preserve"> mức quy định </w:t>
      </w:r>
      <w:r>
        <w:rPr>
          <w:szCs w:val="28"/>
        </w:rPr>
        <w:t xml:space="preserve">đội tuyển trẻ tỉnh, ngành </w:t>
      </w:r>
      <w:r w:rsidRPr="0075136F">
        <w:rPr>
          <w:szCs w:val="28"/>
        </w:rPr>
        <w:t xml:space="preserve">tại </w:t>
      </w:r>
      <w:r>
        <w:rPr>
          <w:szCs w:val="28"/>
        </w:rPr>
        <w:t xml:space="preserve">Khoản 2 Điều 3 </w:t>
      </w:r>
      <w:r w:rsidRPr="0075136F">
        <w:rPr>
          <w:szCs w:val="28"/>
        </w:rPr>
        <w:t xml:space="preserve">Thông tư </w:t>
      </w:r>
      <w:r w:rsidRPr="0075136F">
        <w:rPr>
          <w:szCs w:val="28"/>
          <w:lang w:val="nl-NL"/>
        </w:rPr>
        <w:t>số 86/2020/TT-BTC</w:t>
      </w:r>
      <w:r>
        <w:rPr>
          <w:szCs w:val="28"/>
        </w:rPr>
        <w:t>.</w:t>
      </w:r>
    </w:p>
    <w:p w14:paraId="7FCC4B70" w14:textId="56B312F4" w:rsidR="000A450B" w:rsidRPr="00B96E5C" w:rsidRDefault="00B96E5C" w:rsidP="00B96E5C">
      <w:pPr>
        <w:tabs>
          <w:tab w:val="center" w:pos="540"/>
          <w:tab w:val="center" w:pos="6500"/>
        </w:tabs>
        <w:spacing w:before="80" w:after="80"/>
        <w:jc w:val="both"/>
        <w:rPr>
          <w:szCs w:val="28"/>
        </w:rPr>
      </w:pPr>
      <w:r w:rsidRPr="00A55885">
        <w:rPr>
          <w:sz w:val="28"/>
          <w:szCs w:val="28"/>
        </w:rPr>
        <w:tab/>
      </w:r>
    </w:p>
    <w:sectPr w:rsidR="000A450B" w:rsidRPr="00B96E5C" w:rsidSect="00B96E5C">
      <w:headerReference w:type="default" r:id="rId7"/>
      <w:pgSz w:w="16840" w:h="11907" w:orient="landscape" w:code="9"/>
      <w:pgMar w:top="1152" w:right="1008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FE453" w14:textId="77777777" w:rsidR="007E7E6A" w:rsidRDefault="007E7E6A" w:rsidP="00B96E5C">
      <w:r>
        <w:separator/>
      </w:r>
    </w:p>
  </w:endnote>
  <w:endnote w:type="continuationSeparator" w:id="0">
    <w:p w14:paraId="336BC504" w14:textId="77777777" w:rsidR="007E7E6A" w:rsidRDefault="007E7E6A" w:rsidP="00B9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9CD3" w14:textId="77777777" w:rsidR="007E7E6A" w:rsidRDefault="007E7E6A" w:rsidP="00B96E5C">
      <w:r>
        <w:separator/>
      </w:r>
    </w:p>
  </w:footnote>
  <w:footnote w:type="continuationSeparator" w:id="0">
    <w:p w14:paraId="1473E392" w14:textId="77777777" w:rsidR="007E7E6A" w:rsidRDefault="007E7E6A" w:rsidP="00B96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215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92AC07" w14:textId="77777777" w:rsidR="00B96E5C" w:rsidRDefault="00B96E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E51AC" w14:textId="77777777" w:rsidR="00B96E5C" w:rsidRDefault="00B96E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C"/>
    <w:rsid w:val="0009410A"/>
    <w:rsid w:val="00097712"/>
    <w:rsid w:val="000A450B"/>
    <w:rsid w:val="000F5756"/>
    <w:rsid w:val="00107E5A"/>
    <w:rsid w:val="0012013A"/>
    <w:rsid w:val="001330BB"/>
    <w:rsid w:val="00166396"/>
    <w:rsid w:val="00197C16"/>
    <w:rsid w:val="001F70DA"/>
    <w:rsid w:val="002338B2"/>
    <w:rsid w:val="002D2038"/>
    <w:rsid w:val="00344D0F"/>
    <w:rsid w:val="003A072C"/>
    <w:rsid w:val="004545E0"/>
    <w:rsid w:val="004611EB"/>
    <w:rsid w:val="0047471B"/>
    <w:rsid w:val="00484BBE"/>
    <w:rsid w:val="0052489D"/>
    <w:rsid w:val="005B4957"/>
    <w:rsid w:val="005D6560"/>
    <w:rsid w:val="00767309"/>
    <w:rsid w:val="007B14A0"/>
    <w:rsid w:val="007E7E6A"/>
    <w:rsid w:val="007F4E4B"/>
    <w:rsid w:val="0081208F"/>
    <w:rsid w:val="00820C30"/>
    <w:rsid w:val="00825DC4"/>
    <w:rsid w:val="0082625C"/>
    <w:rsid w:val="00850DE2"/>
    <w:rsid w:val="00884997"/>
    <w:rsid w:val="008A1398"/>
    <w:rsid w:val="00932EB2"/>
    <w:rsid w:val="00933D13"/>
    <w:rsid w:val="00937E3A"/>
    <w:rsid w:val="009731CF"/>
    <w:rsid w:val="00977AF1"/>
    <w:rsid w:val="009C7EEE"/>
    <w:rsid w:val="009E1FD8"/>
    <w:rsid w:val="00B17C7F"/>
    <w:rsid w:val="00B566AA"/>
    <w:rsid w:val="00B9588A"/>
    <w:rsid w:val="00B96E5C"/>
    <w:rsid w:val="00BE2A93"/>
    <w:rsid w:val="00C3363C"/>
    <w:rsid w:val="00C66E78"/>
    <w:rsid w:val="00C755DB"/>
    <w:rsid w:val="00C94A12"/>
    <w:rsid w:val="00CB7CFB"/>
    <w:rsid w:val="00D318BB"/>
    <w:rsid w:val="00D62CF2"/>
    <w:rsid w:val="00E05E50"/>
    <w:rsid w:val="00E9337C"/>
    <w:rsid w:val="00F803DB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B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E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2020-11-24T09:25:00Z</cp:lastPrinted>
  <dcterms:created xsi:type="dcterms:W3CDTF">2020-11-30T07:12:00Z</dcterms:created>
  <dcterms:modified xsi:type="dcterms:W3CDTF">2020-11-30T07:12:00Z</dcterms:modified>
</cp:coreProperties>
</file>