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44" w:rsidRPr="002B0709" w:rsidRDefault="00447344" w:rsidP="00447344">
      <w:pPr>
        <w:jc w:val="center"/>
        <w:rPr>
          <w:b/>
          <w:color w:val="auto"/>
          <w:lang w:val="nl-NL"/>
        </w:rPr>
      </w:pPr>
      <w:r w:rsidRPr="002B0709">
        <w:rPr>
          <w:b/>
          <w:color w:val="auto"/>
          <w:lang w:val="nl-NL"/>
        </w:rPr>
        <w:t>PHỤ LỤC</w:t>
      </w:r>
    </w:p>
    <w:p w:rsidR="00447344" w:rsidRPr="002B0709" w:rsidRDefault="00447344" w:rsidP="00447344">
      <w:pPr>
        <w:jc w:val="center"/>
        <w:rPr>
          <w:b/>
          <w:color w:val="auto"/>
          <w:lang w:val="nl-NL"/>
        </w:rPr>
      </w:pPr>
      <w:r w:rsidRPr="002B0709">
        <w:rPr>
          <w:b/>
          <w:color w:val="auto"/>
          <w:lang w:val="nl-NL"/>
        </w:rPr>
        <w:t>Thông tin điều chỉnh</w:t>
      </w:r>
      <w:r w:rsidRPr="002B0709">
        <w:rPr>
          <w:b/>
          <w:color w:val="auto"/>
          <w:lang w:val="en-US"/>
        </w:rPr>
        <w:t xml:space="preserve"> </w:t>
      </w:r>
      <w:r w:rsidRPr="002B0709">
        <w:rPr>
          <w:b/>
          <w:color w:val="auto"/>
          <w:lang w:val="nl-NL"/>
        </w:rPr>
        <w:t xml:space="preserve">dự án </w:t>
      </w:r>
    </w:p>
    <w:p w:rsidR="00447344" w:rsidRDefault="00447344" w:rsidP="00447344">
      <w:pPr>
        <w:widowControl w:val="0"/>
        <w:jc w:val="center"/>
        <w:rPr>
          <w:b/>
          <w:i/>
          <w:color w:val="auto"/>
          <w:lang w:val="nl-NL"/>
        </w:rPr>
      </w:pPr>
      <w:r w:rsidRPr="00C90052">
        <w:rPr>
          <w:b/>
          <w:color w:val="auto"/>
          <w:lang w:val="nl-NL"/>
        </w:rPr>
        <w:t>Cầu</w:t>
      </w:r>
      <w:r w:rsidR="009C5095">
        <w:rPr>
          <w:b/>
          <w:color w:val="auto"/>
          <w:lang w:val="nl-NL"/>
        </w:rPr>
        <w:t xml:space="preserve"> số 2 </w:t>
      </w:r>
      <w:r w:rsidRPr="00C90052">
        <w:rPr>
          <w:b/>
          <w:color w:val="auto"/>
          <w:lang w:val="nl-NL"/>
        </w:rPr>
        <w:t xml:space="preserve">qua sông Đăk Bla </w:t>
      </w:r>
      <w:r w:rsidRPr="00C90052">
        <w:rPr>
          <w:b/>
          <w:i/>
          <w:color w:val="auto"/>
          <w:lang w:val="nl-NL"/>
        </w:rPr>
        <w:t xml:space="preserve">(từ </w:t>
      </w:r>
      <w:r>
        <w:rPr>
          <w:b/>
          <w:i/>
          <w:color w:val="auto"/>
          <w:lang w:val="nl-NL"/>
        </w:rPr>
        <w:t>p</w:t>
      </w:r>
      <w:r w:rsidRPr="00C90052">
        <w:rPr>
          <w:b/>
          <w:i/>
          <w:color w:val="auto"/>
          <w:lang w:val="nl-NL"/>
        </w:rPr>
        <w:t xml:space="preserve">hường Trường Chinh đi </w:t>
      </w:r>
    </w:p>
    <w:p w:rsidR="00447344" w:rsidRPr="00C90052" w:rsidRDefault="00447344" w:rsidP="00447344">
      <w:pPr>
        <w:widowControl w:val="0"/>
        <w:jc w:val="center"/>
        <w:rPr>
          <w:b/>
          <w:i/>
          <w:color w:val="auto"/>
          <w:lang w:val="nl-NL"/>
        </w:rPr>
      </w:pPr>
      <w:r w:rsidRPr="00C90052">
        <w:rPr>
          <w:b/>
          <w:i/>
          <w:color w:val="auto"/>
          <w:lang w:val="nl-NL"/>
        </w:rPr>
        <w:t xml:space="preserve">Khu dân cư thôn Kon </w:t>
      </w:r>
      <w:r w:rsidR="009C5095">
        <w:rPr>
          <w:b/>
          <w:i/>
          <w:color w:val="auto"/>
          <w:lang w:val="nl-NL"/>
        </w:rPr>
        <w:t>Jơ Ri</w:t>
      </w:r>
      <w:r w:rsidRPr="00C90052">
        <w:rPr>
          <w:b/>
          <w:i/>
          <w:color w:val="auto"/>
          <w:lang w:val="nl-NL"/>
        </w:rPr>
        <w:t xml:space="preserve">, xã Đăk Rơ Wa, thành phố Kon Tum) </w:t>
      </w:r>
    </w:p>
    <w:p w:rsidR="00447344" w:rsidRPr="002B0709" w:rsidRDefault="00447344" w:rsidP="00447344">
      <w:pPr>
        <w:jc w:val="center"/>
        <w:rPr>
          <w:i/>
          <w:color w:val="auto"/>
        </w:rPr>
      </w:pPr>
      <w:r w:rsidRPr="002B0709">
        <w:rPr>
          <w:color w:val="auto"/>
        </w:rPr>
        <w:t xml:space="preserve"> (</w:t>
      </w:r>
      <w:r w:rsidRPr="002B0709">
        <w:rPr>
          <w:i/>
          <w:color w:val="auto"/>
        </w:rPr>
        <w:t xml:space="preserve">Kèm theo </w:t>
      </w:r>
      <w:r w:rsidR="007D65AF">
        <w:rPr>
          <w:i/>
          <w:color w:val="auto"/>
          <w:lang w:val="en-US"/>
        </w:rPr>
        <w:t>Nghị quyết</w:t>
      </w:r>
      <w:r w:rsidRPr="002B0709">
        <w:rPr>
          <w:i/>
          <w:color w:val="auto"/>
        </w:rPr>
        <w:t xml:space="preserve"> số</w:t>
      </w:r>
      <w:r w:rsidRPr="002B0709">
        <w:rPr>
          <w:i/>
          <w:color w:val="auto"/>
          <w:lang w:val="nl-NL"/>
        </w:rPr>
        <w:t xml:space="preserve"> </w:t>
      </w:r>
      <w:r>
        <w:rPr>
          <w:i/>
          <w:color w:val="auto"/>
          <w:lang w:val="nl-NL"/>
        </w:rPr>
        <w:t xml:space="preserve">    </w:t>
      </w:r>
      <w:r w:rsidRPr="002B0709">
        <w:rPr>
          <w:i/>
          <w:color w:val="auto"/>
        </w:rPr>
        <w:t>/</w:t>
      </w:r>
      <w:r w:rsidR="007D65AF">
        <w:rPr>
          <w:i/>
          <w:color w:val="auto"/>
          <w:lang w:val="en-US"/>
        </w:rPr>
        <w:t>NQ</w:t>
      </w:r>
      <w:r w:rsidRPr="002B0709">
        <w:rPr>
          <w:i/>
          <w:color w:val="auto"/>
        </w:rPr>
        <w:t xml:space="preserve">-HĐND ngày </w:t>
      </w:r>
      <w:r>
        <w:rPr>
          <w:i/>
          <w:color w:val="auto"/>
          <w:lang w:val="nl-NL"/>
        </w:rPr>
        <w:t xml:space="preserve">    </w:t>
      </w:r>
      <w:r w:rsidRPr="002B0709">
        <w:rPr>
          <w:i/>
          <w:color w:val="auto"/>
        </w:rPr>
        <w:t>/</w:t>
      </w:r>
      <w:r>
        <w:rPr>
          <w:i/>
          <w:color w:val="auto"/>
          <w:lang w:val="nl-NL"/>
        </w:rPr>
        <w:t xml:space="preserve">    </w:t>
      </w:r>
      <w:r w:rsidRPr="002B0709">
        <w:rPr>
          <w:i/>
          <w:color w:val="auto"/>
        </w:rPr>
        <w:t>/201</w:t>
      </w:r>
      <w:r w:rsidRPr="002B0709">
        <w:rPr>
          <w:i/>
          <w:color w:val="auto"/>
          <w:lang w:val="en-US"/>
        </w:rPr>
        <w:t>9</w:t>
      </w:r>
      <w:r w:rsidRPr="002B0709">
        <w:rPr>
          <w:i/>
          <w:color w:val="auto"/>
        </w:rPr>
        <w:t xml:space="preserve"> </w:t>
      </w:r>
    </w:p>
    <w:p w:rsidR="00447344" w:rsidRPr="002B0709" w:rsidRDefault="00447344" w:rsidP="00447344">
      <w:pPr>
        <w:jc w:val="center"/>
        <w:rPr>
          <w:color w:val="auto"/>
        </w:rPr>
      </w:pPr>
      <w:r w:rsidRPr="002B0709">
        <w:rPr>
          <w:i/>
          <w:color w:val="auto"/>
        </w:rPr>
        <w:t>của Hội đồng nhân dân tỉnh</w:t>
      </w:r>
      <w:r w:rsidRPr="002B0709">
        <w:rPr>
          <w:color w:val="auto"/>
        </w:rPr>
        <w:t>)</w:t>
      </w:r>
    </w:p>
    <w:p w:rsidR="00447344" w:rsidRPr="002B0709" w:rsidRDefault="00447344" w:rsidP="00447344">
      <w:pPr>
        <w:jc w:val="center"/>
        <w:rPr>
          <w:color w:val="auto"/>
        </w:rPr>
      </w:pPr>
      <w:r w:rsidRPr="002B0709">
        <w:rPr>
          <w:color w:val="auto"/>
          <w:lang w:val="en-US"/>
        </w:rPr>
        <mc:AlternateContent>
          <mc:Choice Requires="wps">
            <w:drawing>
              <wp:anchor distT="0" distB="0" distL="114300" distR="114300" simplePos="0" relativeHeight="251659264" behindDoc="0" locked="0" layoutInCell="1" allowOverlap="1" wp14:anchorId="7309A355" wp14:editId="53CBD80F">
                <wp:simplePos x="0" y="0"/>
                <wp:positionH relativeFrom="column">
                  <wp:posOffset>2167890</wp:posOffset>
                </wp:positionH>
                <wp:positionV relativeFrom="paragraph">
                  <wp:posOffset>43180</wp:posOffset>
                </wp:positionV>
                <wp:extent cx="1591310" cy="0"/>
                <wp:effectExtent l="9525" t="13335" r="8890" b="5715"/>
                <wp:wrapNone/>
                <wp:docPr id="1"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297DA8" id="_x0000_t32" coordsize="21600,21600" o:spt="32" o:oned="t" path="m,l21600,21600e" filled="f">
                <v:path arrowok="t" fillok="f" o:connecttype="none"/>
                <o:lock v:ext="edit" shapetype="t"/>
              </v:shapetype>
              <v:shape id="Đường kết nối Mũi tên Thẳng 2" o:spid="_x0000_s1026" type="#_x0000_t32" style="position:absolute;margin-left:170.7pt;margin-top:3.4pt;width:12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"/>
            </w:pict>
          </mc:Fallback>
        </mc:AlternateContent>
      </w:r>
    </w:p>
    <w:p w:rsidR="00447344" w:rsidRPr="002B0709" w:rsidRDefault="00447344" w:rsidP="00447344">
      <w:pPr>
        <w:tabs>
          <w:tab w:val="left" w:pos="5829"/>
          <w:tab w:val="right" w:pos="8040"/>
        </w:tabs>
        <w:spacing w:before="120" w:after="120" w:line="264" w:lineRule="auto"/>
        <w:ind w:firstLine="709"/>
        <w:rPr>
          <w:b/>
          <w:color w:val="auto"/>
          <w:lang w:val="en-US"/>
        </w:rPr>
      </w:pPr>
      <w:r w:rsidRPr="002B0709">
        <w:rPr>
          <w:b/>
          <w:color w:val="auto"/>
          <w:lang w:val="en-US"/>
        </w:rPr>
        <w:t>1. Nội dung điều chỉnh</w:t>
      </w:r>
    </w:p>
    <w:p w:rsidR="00447344" w:rsidRDefault="00447344" w:rsidP="00447344">
      <w:pPr>
        <w:tabs>
          <w:tab w:val="left" w:pos="5829"/>
          <w:tab w:val="right" w:pos="8040"/>
        </w:tabs>
        <w:spacing w:before="120" w:after="120" w:line="264" w:lineRule="auto"/>
        <w:ind w:firstLine="709"/>
        <w:rPr>
          <w:b/>
          <w:color w:val="auto"/>
          <w:lang w:val="en-US"/>
        </w:rPr>
      </w:pPr>
      <w:r>
        <w:rPr>
          <w:b/>
          <w:color w:val="auto"/>
          <w:lang w:val="en-US"/>
        </w:rPr>
        <w:t xml:space="preserve">1.1. Mục tiêu đầu tư: </w:t>
      </w:r>
      <w:bookmarkStart w:id="0" w:name="_GoBack"/>
      <w:bookmarkEnd w:id="0"/>
    </w:p>
    <w:p w:rsidR="00447344" w:rsidRPr="00202233" w:rsidRDefault="00447344" w:rsidP="00447344">
      <w:pPr>
        <w:tabs>
          <w:tab w:val="left" w:pos="5829"/>
          <w:tab w:val="right" w:pos="8040"/>
        </w:tabs>
        <w:spacing w:before="120" w:after="120" w:line="264" w:lineRule="auto"/>
        <w:ind w:firstLine="709"/>
        <w:rPr>
          <w:color w:val="auto"/>
          <w:lang w:val="en-US"/>
        </w:rPr>
      </w:pPr>
      <w:r w:rsidRPr="00202233">
        <w:rPr>
          <w:color w:val="auto"/>
          <w:lang w:val="en-US"/>
        </w:rPr>
        <w:t xml:space="preserve">Từng bước hoàn chỉnh hạ tầng kỹ thuật đô thị và mở rộng quỹ không gian đô thị thành phố Kon Tum theo quy hoạch, khai thác tiềm năng quỹ đất tạo nguồn thu để phát triển cơ sở hạ tầng, góp phần thúc đẩy sự phát triển các khu đô thị cũng như phát triển kinh tế - xã hội của thành phố, tạo điều kiện cho thành phố Kon Tum sớm đạt tiêu chuẩn đô thị loại II vào năm 2020; đảm bảo cơ sở hạ tầng để kết nối đồng bộ với các dự án trong khu vực lân cận </w:t>
      </w:r>
      <w:r w:rsidRPr="00202233">
        <w:rPr>
          <w:i/>
          <w:color w:val="auto"/>
          <w:lang w:val="en-US"/>
        </w:rPr>
        <w:t>(</w:t>
      </w:r>
      <w:r w:rsidR="00000571">
        <w:rPr>
          <w:i/>
          <w:color w:val="auto"/>
          <w:lang w:val="en-US"/>
        </w:rPr>
        <w:t>d</w:t>
      </w:r>
      <w:r w:rsidRPr="00202233">
        <w:rPr>
          <w:i/>
          <w:color w:val="auto"/>
          <w:lang w:val="en-US"/>
        </w:rPr>
        <w:t>ự án Đường Trường Chinh và các dự án đang triển khai đầu tư tại Khu Tổ hợp thương mại, dịch vụ vui chơi giải trí và nhà phố...).</w:t>
      </w:r>
    </w:p>
    <w:p w:rsidR="00447344" w:rsidRPr="002B0709" w:rsidRDefault="00447344" w:rsidP="00447344">
      <w:pPr>
        <w:tabs>
          <w:tab w:val="left" w:pos="5829"/>
          <w:tab w:val="right" w:pos="8040"/>
        </w:tabs>
        <w:spacing w:before="120" w:after="120" w:line="264" w:lineRule="auto"/>
        <w:ind w:firstLine="709"/>
        <w:rPr>
          <w:b/>
          <w:color w:val="auto"/>
          <w:lang w:val="en-US"/>
        </w:rPr>
      </w:pPr>
      <w:r w:rsidRPr="002B0709">
        <w:rPr>
          <w:b/>
          <w:color w:val="auto"/>
          <w:lang w:val="en-US"/>
        </w:rPr>
        <w:t>1.</w:t>
      </w:r>
      <w:r>
        <w:rPr>
          <w:b/>
          <w:color w:val="auto"/>
          <w:lang w:val="en-US"/>
        </w:rPr>
        <w:t>2</w:t>
      </w:r>
      <w:r w:rsidRPr="002B0709">
        <w:rPr>
          <w:b/>
          <w:color w:val="auto"/>
          <w:lang w:val="en-US"/>
        </w:rPr>
        <w:t xml:space="preserve">. Quy mô đầu tư: </w:t>
      </w:r>
    </w:p>
    <w:p w:rsidR="00447344" w:rsidRPr="00202233" w:rsidRDefault="00447344" w:rsidP="00447344">
      <w:pPr>
        <w:spacing w:before="120" w:after="120" w:line="264" w:lineRule="auto"/>
        <w:ind w:firstLine="709"/>
        <w:rPr>
          <w:color w:val="auto"/>
          <w:lang w:val="nl-NL"/>
        </w:rPr>
      </w:pPr>
      <w:r w:rsidRPr="00202233">
        <w:rPr>
          <w:color w:val="auto"/>
          <w:lang w:val="nl-NL"/>
        </w:rPr>
        <w:t xml:space="preserve">- Cầu Bê tông cốt thép dự ứng lực </w:t>
      </w:r>
      <w:r w:rsidRPr="00E71C22">
        <w:rPr>
          <w:i/>
          <w:color w:val="auto"/>
          <w:lang w:val="nl-NL"/>
        </w:rPr>
        <w:t>(loại dầm Supper T)</w:t>
      </w:r>
      <w:r w:rsidRPr="00202233">
        <w:rPr>
          <w:color w:val="auto"/>
          <w:lang w:val="nl-NL"/>
        </w:rPr>
        <w:t>, 5 nhịp, chiều dài khoảng 217,42m, khổ cầu 15,5m, tải trọng thiết kế Hoạt tải HL93.</w:t>
      </w:r>
    </w:p>
    <w:p w:rsidR="00447344" w:rsidRPr="00202233" w:rsidRDefault="00447344" w:rsidP="00447344">
      <w:pPr>
        <w:spacing w:before="120" w:after="120" w:line="264" w:lineRule="auto"/>
        <w:ind w:firstLine="709"/>
        <w:rPr>
          <w:color w:val="auto"/>
          <w:lang w:val="nl-NL"/>
        </w:rPr>
      </w:pPr>
      <w:r w:rsidRPr="00202233">
        <w:rPr>
          <w:color w:val="auto"/>
          <w:lang w:val="nl-NL"/>
        </w:rPr>
        <w:t xml:space="preserve">- </w:t>
      </w:r>
      <w:r w:rsidRPr="00202233">
        <w:rPr>
          <w:rFonts w:hint="eastAsia"/>
          <w:color w:val="auto"/>
          <w:lang w:val="nl-NL"/>
        </w:rPr>
        <w:t>Đư</w:t>
      </w:r>
      <w:r w:rsidRPr="00202233">
        <w:rPr>
          <w:color w:val="auto"/>
          <w:lang w:val="nl-NL"/>
        </w:rPr>
        <w:t xml:space="preserve">ờng hai </w:t>
      </w:r>
      <w:r w:rsidRPr="00202233">
        <w:rPr>
          <w:rFonts w:hint="eastAsia"/>
          <w:color w:val="auto"/>
          <w:lang w:val="nl-NL"/>
        </w:rPr>
        <w:t>đ</w:t>
      </w:r>
      <w:r w:rsidRPr="00202233">
        <w:rPr>
          <w:color w:val="auto"/>
          <w:lang w:val="nl-NL"/>
        </w:rPr>
        <w:t xml:space="preserve">ầu cầu dài 500m, nền </w:t>
      </w:r>
      <w:r w:rsidRPr="00202233">
        <w:rPr>
          <w:rFonts w:hint="eastAsia"/>
          <w:color w:val="auto"/>
          <w:lang w:val="nl-NL"/>
        </w:rPr>
        <w:t>đư</w:t>
      </w:r>
      <w:r w:rsidRPr="00202233">
        <w:rPr>
          <w:color w:val="auto"/>
          <w:lang w:val="nl-NL"/>
        </w:rPr>
        <w:t xml:space="preserve">ờng rộng 15,5m, mặt </w:t>
      </w:r>
      <w:r w:rsidRPr="00202233">
        <w:rPr>
          <w:rFonts w:hint="eastAsia"/>
          <w:color w:val="auto"/>
          <w:lang w:val="nl-NL"/>
        </w:rPr>
        <w:t>đư</w:t>
      </w:r>
      <w:r w:rsidRPr="00202233">
        <w:rPr>
          <w:color w:val="auto"/>
          <w:lang w:val="nl-NL"/>
        </w:rPr>
        <w:t xml:space="preserve">ờng rộng 14,5m, lề </w:t>
      </w:r>
      <w:r w:rsidRPr="00202233">
        <w:rPr>
          <w:rFonts w:hint="eastAsia"/>
          <w:color w:val="auto"/>
          <w:lang w:val="nl-NL"/>
        </w:rPr>
        <w:t>đư</w:t>
      </w:r>
      <w:r w:rsidRPr="00202233">
        <w:rPr>
          <w:color w:val="auto"/>
          <w:lang w:val="nl-NL"/>
        </w:rPr>
        <w:t>ờng 2x0,5m.</w:t>
      </w:r>
    </w:p>
    <w:p w:rsidR="00447344" w:rsidRPr="00202233" w:rsidRDefault="00447344" w:rsidP="00447344">
      <w:pPr>
        <w:tabs>
          <w:tab w:val="left" w:pos="5829"/>
          <w:tab w:val="right" w:pos="8040"/>
        </w:tabs>
        <w:spacing w:before="120" w:after="120" w:line="264" w:lineRule="auto"/>
        <w:ind w:firstLine="709"/>
        <w:rPr>
          <w:color w:val="auto"/>
          <w:lang w:val="en-US"/>
        </w:rPr>
      </w:pPr>
      <w:r w:rsidRPr="002B0709">
        <w:rPr>
          <w:b/>
          <w:color w:val="auto"/>
          <w:lang w:val="en-US"/>
        </w:rPr>
        <w:t>1.</w:t>
      </w:r>
      <w:r>
        <w:rPr>
          <w:b/>
          <w:color w:val="auto"/>
          <w:lang w:val="en-US"/>
        </w:rPr>
        <w:t>3</w:t>
      </w:r>
      <w:r w:rsidRPr="002B0709">
        <w:rPr>
          <w:b/>
          <w:color w:val="auto"/>
        </w:rPr>
        <w:t xml:space="preserve">. </w:t>
      </w:r>
      <w:r w:rsidRPr="002B0709">
        <w:rPr>
          <w:b/>
          <w:color w:val="auto"/>
          <w:lang w:val="en-US"/>
        </w:rPr>
        <w:t>Tổng mức đầu tư</w:t>
      </w:r>
      <w:r w:rsidRPr="00E71C22">
        <w:rPr>
          <w:b/>
          <w:color w:val="auto"/>
        </w:rPr>
        <w:t>:</w:t>
      </w:r>
      <w:r w:rsidRPr="002B0709">
        <w:rPr>
          <w:color w:val="auto"/>
          <w:lang w:val="en-US"/>
        </w:rPr>
        <w:t xml:space="preserve"> </w:t>
      </w:r>
      <w:r w:rsidRPr="00202233">
        <w:rPr>
          <w:color w:val="auto"/>
        </w:rPr>
        <w:t>Khoảng 136</w:t>
      </w:r>
      <w:r>
        <w:rPr>
          <w:color w:val="auto"/>
          <w:lang w:val="en-US"/>
        </w:rPr>
        <w:t>,</w:t>
      </w:r>
      <w:r w:rsidRPr="00202233">
        <w:rPr>
          <w:color w:val="auto"/>
        </w:rPr>
        <w:t xml:space="preserve">44 </w:t>
      </w:r>
      <w:r>
        <w:rPr>
          <w:color w:val="auto"/>
          <w:lang w:val="en-US"/>
        </w:rPr>
        <w:t>tỷ</w:t>
      </w:r>
      <w:r w:rsidRPr="00202233">
        <w:rPr>
          <w:color w:val="auto"/>
        </w:rPr>
        <w:t xml:space="preserve"> đồng</w:t>
      </w:r>
      <w:r>
        <w:rPr>
          <w:color w:val="auto"/>
          <w:lang w:val="en-US"/>
        </w:rPr>
        <w:t>.</w:t>
      </w:r>
    </w:p>
    <w:p w:rsidR="00447344" w:rsidRPr="002B0709" w:rsidRDefault="00447344" w:rsidP="00447344">
      <w:pPr>
        <w:spacing w:before="120" w:after="120" w:line="264" w:lineRule="auto"/>
        <w:ind w:firstLine="709"/>
        <w:rPr>
          <w:color w:val="auto"/>
          <w:lang w:val="nl-NL"/>
        </w:rPr>
      </w:pPr>
      <w:r w:rsidRPr="002B0709">
        <w:rPr>
          <w:b/>
          <w:color w:val="auto"/>
          <w:lang w:val="nl-NL"/>
        </w:rPr>
        <w:t>2.</w:t>
      </w:r>
      <w:r w:rsidRPr="002B0709">
        <w:rPr>
          <w:color w:val="auto"/>
          <w:lang w:val="nl-NL"/>
        </w:rPr>
        <w:t xml:space="preserve"> Các nội dung khác giữ nguyên theo </w:t>
      </w:r>
      <w:r w:rsidR="005E4F0B">
        <w:rPr>
          <w:color w:val="auto"/>
          <w:lang w:val="nl-NL"/>
        </w:rPr>
        <w:t xml:space="preserve">điểm 1.3 </w:t>
      </w:r>
      <w:r w:rsidRPr="002B0709">
        <w:rPr>
          <w:color w:val="auto"/>
          <w:lang w:val="nl-NL"/>
        </w:rPr>
        <w:t xml:space="preserve">Thông báo số </w:t>
      </w:r>
      <w:r>
        <w:rPr>
          <w:color w:val="auto"/>
          <w:lang w:val="nl-NL"/>
        </w:rPr>
        <w:t>49</w:t>
      </w:r>
      <w:r w:rsidRPr="002B0709">
        <w:rPr>
          <w:color w:val="auto"/>
          <w:lang w:val="nl-NL"/>
        </w:rPr>
        <w:t>/TB-HĐND ngày 2</w:t>
      </w:r>
      <w:r>
        <w:rPr>
          <w:color w:val="auto"/>
          <w:lang w:val="nl-NL"/>
        </w:rPr>
        <w:t>3</w:t>
      </w:r>
      <w:r w:rsidRPr="002B0709">
        <w:rPr>
          <w:color w:val="auto"/>
          <w:lang w:val="nl-NL"/>
        </w:rPr>
        <w:t>/</w:t>
      </w:r>
      <w:r>
        <w:rPr>
          <w:color w:val="auto"/>
          <w:lang w:val="nl-NL"/>
        </w:rPr>
        <w:t>9</w:t>
      </w:r>
      <w:r w:rsidRPr="002B0709">
        <w:rPr>
          <w:color w:val="auto"/>
          <w:lang w:val="nl-NL"/>
        </w:rPr>
        <w:t>/2016 của Thường trực Hội đồng nhân dân tỉnh</w:t>
      </w:r>
      <w:r>
        <w:rPr>
          <w:color w:val="auto"/>
          <w:lang w:val="nl-NL"/>
        </w:rPr>
        <w:t>.</w:t>
      </w:r>
    </w:p>
    <w:p w:rsidR="00447344" w:rsidRPr="002B0709" w:rsidRDefault="00447344" w:rsidP="00447344">
      <w:pPr>
        <w:spacing w:before="120" w:line="264" w:lineRule="auto"/>
        <w:jc w:val="center"/>
        <w:rPr>
          <w:color w:val="auto"/>
          <w:lang w:val="nl-NL"/>
        </w:rPr>
      </w:pPr>
      <w:r w:rsidRPr="002B0709">
        <w:rPr>
          <w:color w:val="auto"/>
          <w:lang w:val="nl-NL"/>
        </w:rPr>
        <w:t>------------------</w:t>
      </w:r>
    </w:p>
    <w:p w:rsidR="00F42784" w:rsidRDefault="00F42784"/>
    <w:sectPr w:rsidR="00F42784" w:rsidSect="0044104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44"/>
    <w:rsid w:val="00000571"/>
    <w:rsid w:val="00005E02"/>
    <w:rsid w:val="0044104F"/>
    <w:rsid w:val="00447344"/>
    <w:rsid w:val="004E78E3"/>
    <w:rsid w:val="005B6D40"/>
    <w:rsid w:val="005E4F0B"/>
    <w:rsid w:val="005F1FC5"/>
    <w:rsid w:val="006958D2"/>
    <w:rsid w:val="006E3675"/>
    <w:rsid w:val="007D65AF"/>
    <w:rsid w:val="009B07DE"/>
    <w:rsid w:val="009C5095"/>
    <w:rsid w:val="00A45814"/>
    <w:rsid w:val="00F4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44"/>
    <w:pPr>
      <w:spacing w:before="0" w:after="0"/>
      <w:jc w:val="both"/>
    </w:pPr>
    <w:rPr>
      <w:rFonts w:eastAsia="Times New Roman" w:cs="Times New Roman"/>
      <w:noProof/>
      <w:color w:val="00206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44"/>
    <w:pPr>
      <w:spacing w:before="0" w:after="0"/>
      <w:jc w:val="both"/>
    </w:pPr>
    <w:rPr>
      <w:rFonts w:eastAsia="Times New Roman" w:cs="Times New Roman"/>
      <w:noProof/>
      <w:color w:val="00206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Minh Khương</dc:creator>
  <cp:lastModifiedBy>Nguyễn Minh Khương</cp:lastModifiedBy>
  <cp:revision>4</cp:revision>
  <dcterms:created xsi:type="dcterms:W3CDTF">2019-09-21T03:57:00Z</dcterms:created>
  <dcterms:modified xsi:type="dcterms:W3CDTF">2019-09-22T02:27:00Z</dcterms:modified>
</cp:coreProperties>
</file>