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6A5B" w14:textId="77777777" w:rsidR="00AF7DF2" w:rsidRDefault="00AF7DF2" w:rsidP="00AF7DF2">
      <w:pPr>
        <w:tabs>
          <w:tab w:val="center" w:pos="1560"/>
          <w:tab w:val="center" w:pos="6379"/>
        </w:tabs>
        <w:spacing w:after="0"/>
        <w:ind w:left="-426"/>
        <w:rPr>
          <w:rFonts w:ascii="Times New Roman" w:hAnsi="Times New Roman"/>
          <w:sz w:val="26"/>
          <w:szCs w:val="26"/>
        </w:rPr>
      </w:pPr>
      <w:r>
        <w:rPr>
          <w:rFonts w:ascii="Times New Roman" w:hAnsi="Times New Roman"/>
          <w:sz w:val="26"/>
          <w:szCs w:val="26"/>
        </w:rPr>
        <w:t xml:space="preserve">  TÒA ÁN NHÂN DÂN TỐI CAO </w:t>
      </w:r>
      <w:r>
        <w:rPr>
          <w:rFonts w:ascii="Times New Roman" w:hAnsi="Times New Roman"/>
          <w:sz w:val="26"/>
          <w:szCs w:val="26"/>
        </w:rPr>
        <w:tab/>
      </w:r>
      <w:r>
        <w:rPr>
          <w:rFonts w:ascii="Times New Roman" w:hAnsi="Times New Roman"/>
          <w:b/>
          <w:sz w:val="26"/>
          <w:szCs w:val="26"/>
        </w:rPr>
        <w:t>CỘNG HÒA XÃ HỘI CHỦ NGHĨA VIỆT NAM</w:t>
      </w:r>
    </w:p>
    <w:p w14:paraId="22FDF17D" w14:textId="77777777" w:rsidR="00AF7DF2" w:rsidRDefault="00AF7DF2" w:rsidP="00AF7DF2">
      <w:pPr>
        <w:tabs>
          <w:tab w:val="center" w:pos="1080"/>
          <w:tab w:val="center" w:pos="6237"/>
        </w:tabs>
        <w:spacing w:after="0" w:line="240" w:lineRule="auto"/>
        <w:jc w:val="both"/>
        <w:rPr>
          <w:rFonts w:ascii="Times New Roman" w:hAnsi="Times New Roman"/>
          <w:b/>
          <w:sz w:val="26"/>
          <w:szCs w:val="26"/>
          <w:lang w:val="pt-BR"/>
        </w:rPr>
      </w:pPr>
      <w:r>
        <w:rPr>
          <w:noProof/>
        </w:rPr>
        <mc:AlternateContent>
          <mc:Choice Requires="wps">
            <w:drawing>
              <wp:anchor distT="4294967294" distB="4294967294" distL="114300" distR="114300" simplePos="0" relativeHeight="251661312" behindDoc="0" locked="0" layoutInCell="1" allowOverlap="1" wp14:anchorId="27752567" wp14:editId="5428ACC5">
                <wp:simplePos x="0" y="0"/>
                <wp:positionH relativeFrom="column">
                  <wp:posOffset>3158490</wp:posOffset>
                </wp:positionH>
                <wp:positionV relativeFrom="paragraph">
                  <wp:posOffset>248920</wp:posOffset>
                </wp:positionV>
                <wp:extent cx="1981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E8CC"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pt,19.6pt" to="404.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N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"/>
            </w:pict>
          </mc:Fallback>
        </mc:AlternateContent>
      </w:r>
      <w:r>
        <w:rPr>
          <w:rFonts w:ascii="Times New Roman" w:hAnsi="Times New Roman"/>
          <w:b/>
          <w:sz w:val="26"/>
          <w:szCs w:val="26"/>
        </w:rPr>
        <w:tab/>
      </w:r>
      <w:r>
        <w:rPr>
          <w:rFonts w:ascii="Times New Roman" w:hAnsi="Times New Roman"/>
          <w:b/>
          <w:sz w:val="26"/>
          <w:szCs w:val="26"/>
          <w:lang w:val="pt-BR"/>
        </w:rPr>
        <w:t xml:space="preserve">     TAND TỈNH KONTUM</w:t>
      </w:r>
      <w:r>
        <w:rPr>
          <w:rFonts w:ascii="Times New Roman" w:hAnsi="Times New Roman"/>
          <w:b/>
          <w:sz w:val="26"/>
          <w:szCs w:val="26"/>
          <w:lang w:val="pt-BR"/>
        </w:rPr>
        <w:tab/>
        <w:t xml:space="preserve">        Độc lập - Tự do - Hạnh phúc</w:t>
      </w:r>
    </w:p>
    <w:p w14:paraId="03260661" w14:textId="77777777" w:rsidR="00AF7DF2" w:rsidRPr="002B7517" w:rsidRDefault="00AF7DF2" w:rsidP="00AF7DF2">
      <w:pPr>
        <w:spacing w:before="240" w:after="0" w:line="240" w:lineRule="auto"/>
        <w:rPr>
          <w:rStyle w:val="Strong"/>
          <w:rFonts w:ascii="Times New Roman" w:hAnsi="Times New Roman"/>
          <w:b w:val="0"/>
          <w:bCs w:val="0"/>
          <w:i/>
          <w:sz w:val="26"/>
        </w:rPr>
      </w:pPr>
      <w:r>
        <w:rPr>
          <w:noProof/>
        </w:rPr>
        <mc:AlternateContent>
          <mc:Choice Requires="wps">
            <w:drawing>
              <wp:anchor distT="4294967294" distB="4294967294" distL="114300" distR="114300" simplePos="0" relativeHeight="251660288" behindDoc="0" locked="0" layoutInCell="1" allowOverlap="1" wp14:anchorId="3778DEEE" wp14:editId="330D1060">
                <wp:simplePos x="0" y="0"/>
                <wp:positionH relativeFrom="column">
                  <wp:posOffset>754897</wp:posOffset>
                </wp:positionH>
                <wp:positionV relativeFrom="paragraph">
                  <wp:posOffset>62230</wp:posOffset>
                </wp:positionV>
                <wp:extent cx="480239"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25E1"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45pt,4.9pt" to="9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rcHAIAADUEAAAOAAAAZHJzL2Uyb0RvYy54bWysU8uu2yAQ3VfqPyD2iR/XSR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"/>
            </w:pict>
          </mc:Fallback>
        </mc:AlternateContent>
      </w:r>
      <w:r>
        <w:rPr>
          <w:b/>
          <w:sz w:val="28"/>
          <w:lang w:val="pt-BR"/>
        </w:rPr>
        <w:tab/>
      </w:r>
      <w:r>
        <w:rPr>
          <w:rFonts w:ascii="Times New Roman" w:hAnsi="Times New Roman"/>
          <w:sz w:val="26"/>
        </w:rPr>
        <w:t>Số:       /BC-TA</w:t>
      </w:r>
      <w:r>
        <w:rPr>
          <w:rFonts w:ascii="Times New Roman" w:hAnsi="Times New Roman"/>
          <w:sz w:val="26"/>
        </w:rPr>
        <w:tab/>
        <w:t xml:space="preserve">                                 </w:t>
      </w:r>
      <w:r>
        <w:rPr>
          <w:rFonts w:ascii="Times New Roman" w:hAnsi="Times New Roman"/>
          <w:i/>
          <w:sz w:val="26"/>
        </w:rPr>
        <w:t>Kon Tum, ngày 06 tháng 12 năm 2021</w:t>
      </w:r>
    </w:p>
    <w:p w14:paraId="64CF7307" w14:textId="77777777" w:rsidR="00AF7DF2" w:rsidRPr="00AF26F6" w:rsidRDefault="00AF7DF2" w:rsidP="00AF7DF2">
      <w:pPr>
        <w:pStyle w:val="t-c"/>
        <w:shd w:val="clear" w:color="auto" w:fill="FFFFFF"/>
        <w:spacing w:before="240" w:beforeAutospacing="0" w:after="0" w:afterAutospacing="0" w:line="360" w:lineRule="atLeast"/>
        <w:jc w:val="center"/>
        <w:textAlignment w:val="baseline"/>
        <w:rPr>
          <w:sz w:val="28"/>
          <w:szCs w:val="28"/>
        </w:rPr>
      </w:pPr>
      <w:r w:rsidRPr="00AF26F6">
        <w:rPr>
          <w:rStyle w:val="Strong"/>
          <w:sz w:val="28"/>
          <w:szCs w:val="28"/>
          <w:bdr w:val="none" w:sz="0" w:space="0" w:color="auto" w:frame="1"/>
        </w:rPr>
        <w:t>BÁO CÁO TÓM TẮT</w:t>
      </w:r>
    </w:p>
    <w:p w14:paraId="057CD1CE" w14:textId="77777777" w:rsidR="00AF7DF2" w:rsidRDefault="00AF7DF2" w:rsidP="00AF7DF2">
      <w:pPr>
        <w:pStyle w:val="t-c"/>
        <w:shd w:val="clear" w:color="auto" w:fill="FFFFFF"/>
        <w:spacing w:before="0" w:beforeAutospacing="0" w:after="0" w:afterAutospacing="0" w:line="360" w:lineRule="atLeast"/>
        <w:jc w:val="center"/>
        <w:textAlignment w:val="baseline"/>
        <w:rPr>
          <w:rStyle w:val="Strong"/>
          <w:sz w:val="28"/>
          <w:szCs w:val="28"/>
          <w:bdr w:val="none" w:sz="0" w:space="0" w:color="auto" w:frame="1"/>
        </w:rPr>
      </w:pPr>
      <w:r w:rsidRPr="00AF26F6">
        <w:rPr>
          <w:rStyle w:val="Strong"/>
          <w:sz w:val="28"/>
          <w:szCs w:val="28"/>
          <w:bdr w:val="none" w:sz="0" w:space="0" w:color="auto" w:frame="1"/>
        </w:rPr>
        <w:t>CỦA CHÁNH ÁN T</w:t>
      </w:r>
      <w:r>
        <w:rPr>
          <w:rStyle w:val="Strong"/>
          <w:sz w:val="28"/>
          <w:szCs w:val="28"/>
          <w:bdr w:val="none" w:sz="0" w:space="0" w:color="auto" w:frame="1"/>
        </w:rPr>
        <w:t>AND</w:t>
      </w:r>
      <w:r w:rsidRPr="00AF26F6">
        <w:rPr>
          <w:rStyle w:val="Strong"/>
          <w:sz w:val="28"/>
          <w:szCs w:val="28"/>
          <w:bdr w:val="none" w:sz="0" w:space="0" w:color="auto" w:frame="1"/>
        </w:rPr>
        <w:t xml:space="preserve"> T</w:t>
      </w:r>
      <w:r>
        <w:rPr>
          <w:rStyle w:val="Strong"/>
          <w:sz w:val="28"/>
          <w:szCs w:val="28"/>
          <w:bdr w:val="none" w:sz="0" w:space="0" w:color="auto" w:frame="1"/>
        </w:rPr>
        <w:t>ỈNH KON TUM</w:t>
      </w:r>
    </w:p>
    <w:p w14:paraId="2089726D" w14:textId="77777777" w:rsidR="00AF7DF2" w:rsidRDefault="00AF7DF2" w:rsidP="00AF7DF2">
      <w:pPr>
        <w:pStyle w:val="t-c"/>
        <w:shd w:val="clear" w:color="auto" w:fill="FFFFFF"/>
        <w:spacing w:before="0" w:beforeAutospacing="0" w:after="0" w:afterAutospacing="0" w:line="360" w:lineRule="atLeast"/>
        <w:jc w:val="center"/>
        <w:textAlignment w:val="baseline"/>
        <w:rPr>
          <w:rStyle w:val="Strong"/>
          <w:sz w:val="28"/>
          <w:szCs w:val="28"/>
          <w:bdr w:val="none" w:sz="0" w:space="0" w:color="auto" w:frame="1"/>
        </w:rPr>
      </w:pPr>
      <w:r w:rsidRPr="00AF26F6">
        <w:rPr>
          <w:rStyle w:val="Strong"/>
          <w:sz w:val="28"/>
          <w:szCs w:val="28"/>
          <w:bdr w:val="none" w:sz="0" w:space="0" w:color="auto" w:frame="1"/>
        </w:rPr>
        <w:t>VỀ CÔNG TÁC CỦA T</w:t>
      </w:r>
      <w:r>
        <w:rPr>
          <w:rStyle w:val="Strong"/>
          <w:sz w:val="28"/>
          <w:szCs w:val="28"/>
          <w:bdr w:val="none" w:sz="0" w:space="0" w:color="auto" w:frame="1"/>
        </w:rPr>
        <w:t>AND HAI CẤP TRONG TỈNH</w:t>
      </w:r>
    </w:p>
    <w:p w14:paraId="53F787FA" w14:textId="77777777" w:rsidR="00AF7DF2" w:rsidRDefault="00AF7DF2" w:rsidP="00AF7DF2">
      <w:pPr>
        <w:pStyle w:val="t-c"/>
        <w:shd w:val="clear" w:color="auto" w:fill="FFFFFF"/>
        <w:spacing w:before="0" w:beforeAutospacing="0" w:after="0" w:afterAutospacing="0" w:line="360" w:lineRule="atLeast"/>
        <w:jc w:val="center"/>
        <w:textAlignment w:val="baseline"/>
        <w:rPr>
          <w:b/>
          <w:bCs/>
          <w:sz w:val="28"/>
          <w:szCs w:val="28"/>
          <w:bdr w:val="none" w:sz="0" w:space="0" w:color="auto" w:frame="1"/>
        </w:rPr>
      </w:pPr>
      <w:r>
        <w:rPr>
          <w:b/>
          <w:bCs/>
          <w:noProof/>
          <w:sz w:val="28"/>
          <w:szCs w:val="28"/>
        </w:rPr>
        <mc:AlternateContent>
          <mc:Choice Requires="wps">
            <w:drawing>
              <wp:anchor distT="0" distB="0" distL="114300" distR="114300" simplePos="0" relativeHeight="251659264" behindDoc="0" locked="0" layoutInCell="1" allowOverlap="1" wp14:anchorId="173A0A65" wp14:editId="28AD7E2A">
                <wp:simplePos x="0" y="0"/>
                <wp:positionH relativeFrom="margin">
                  <wp:posOffset>2546985</wp:posOffset>
                </wp:positionH>
                <wp:positionV relativeFrom="paragraph">
                  <wp:posOffset>60960</wp:posOffset>
                </wp:positionV>
                <wp:extent cx="638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D3AF5"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00.55pt,4.8pt" to="25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" strokecolor="black [3200]" strokeweight=".5pt">
                <v:stroke joinstyle="miter"/>
                <w10:wrap anchorx="margin"/>
              </v:line>
            </w:pict>
          </mc:Fallback>
        </mc:AlternateContent>
      </w:r>
    </w:p>
    <w:p w14:paraId="5A286D7E" w14:textId="77777777" w:rsidR="00AF7DF2" w:rsidRDefault="00AF7DF2" w:rsidP="008E67AC">
      <w:pPr>
        <w:pStyle w:val="NormalWeb"/>
        <w:shd w:val="clear" w:color="auto" w:fill="FFFFFF"/>
        <w:spacing w:before="120" w:beforeAutospacing="0" w:after="0" w:afterAutospacing="0"/>
        <w:ind w:firstLine="720"/>
        <w:jc w:val="both"/>
        <w:textAlignment w:val="baseline"/>
        <w:rPr>
          <w:sz w:val="28"/>
          <w:szCs w:val="28"/>
        </w:rPr>
      </w:pPr>
      <w:r w:rsidRPr="00F43CDB">
        <w:rPr>
          <w:sz w:val="28"/>
          <w:szCs w:val="28"/>
        </w:rPr>
        <w:t xml:space="preserve">Thực hiện </w:t>
      </w:r>
      <w:r>
        <w:rPr>
          <w:sz w:val="28"/>
          <w:szCs w:val="28"/>
        </w:rPr>
        <w:t>Công văn</w:t>
      </w:r>
      <w:r w:rsidRPr="00F43CDB">
        <w:rPr>
          <w:sz w:val="28"/>
          <w:szCs w:val="28"/>
        </w:rPr>
        <w:t xml:space="preserve"> </w:t>
      </w:r>
      <w:r>
        <w:rPr>
          <w:sz w:val="28"/>
          <w:szCs w:val="28"/>
        </w:rPr>
        <w:t xml:space="preserve">số 22/TTHĐND-TH ngày 11/10/2021 </w:t>
      </w:r>
      <w:r w:rsidRPr="00F43CDB">
        <w:rPr>
          <w:sz w:val="28"/>
          <w:szCs w:val="28"/>
        </w:rPr>
        <w:t xml:space="preserve">của Thường </w:t>
      </w:r>
      <w:r>
        <w:rPr>
          <w:sz w:val="28"/>
          <w:szCs w:val="28"/>
        </w:rPr>
        <w:t xml:space="preserve">trực HĐND tỉnh </w:t>
      </w:r>
      <w:r w:rsidRPr="00F43CDB">
        <w:rPr>
          <w:sz w:val="28"/>
          <w:szCs w:val="28"/>
        </w:rPr>
        <w:t xml:space="preserve">về công tác </w:t>
      </w:r>
      <w:r>
        <w:rPr>
          <w:sz w:val="28"/>
          <w:szCs w:val="28"/>
        </w:rPr>
        <w:t>chuẩn bị kỳ họp thứ 2 Hội đồng nhân dân tỉnh khoán XII</w:t>
      </w:r>
      <w:r w:rsidRPr="00F43CDB">
        <w:rPr>
          <w:sz w:val="28"/>
          <w:szCs w:val="28"/>
        </w:rPr>
        <w:t>, Tòa án nhân dân t</w:t>
      </w:r>
      <w:r>
        <w:rPr>
          <w:sz w:val="28"/>
          <w:szCs w:val="28"/>
        </w:rPr>
        <w:t xml:space="preserve">ỉnh Kon Tum </w:t>
      </w:r>
      <w:r w:rsidRPr="00F43CDB">
        <w:rPr>
          <w:sz w:val="28"/>
          <w:szCs w:val="28"/>
        </w:rPr>
        <w:t xml:space="preserve">đã có Báo cáo số </w:t>
      </w:r>
      <w:r>
        <w:rPr>
          <w:sz w:val="28"/>
          <w:szCs w:val="28"/>
        </w:rPr>
        <w:t>121</w:t>
      </w:r>
      <w:r w:rsidRPr="00F43CDB">
        <w:rPr>
          <w:sz w:val="28"/>
          <w:szCs w:val="28"/>
        </w:rPr>
        <w:t>/BC-TA ngày 2</w:t>
      </w:r>
      <w:r>
        <w:rPr>
          <w:sz w:val="28"/>
          <w:szCs w:val="28"/>
        </w:rPr>
        <w:t>9</w:t>
      </w:r>
      <w:r w:rsidRPr="00F43CDB">
        <w:rPr>
          <w:sz w:val="28"/>
          <w:szCs w:val="28"/>
        </w:rPr>
        <w:t>/10/202</w:t>
      </w:r>
      <w:r>
        <w:rPr>
          <w:sz w:val="28"/>
          <w:szCs w:val="28"/>
        </w:rPr>
        <w:t>1</w:t>
      </w:r>
      <w:r w:rsidRPr="00F43CDB">
        <w:rPr>
          <w:sz w:val="28"/>
          <w:szCs w:val="28"/>
        </w:rPr>
        <w:t xml:space="preserve"> gửi </w:t>
      </w:r>
      <w:r>
        <w:rPr>
          <w:sz w:val="28"/>
          <w:szCs w:val="28"/>
        </w:rPr>
        <w:t>Thường trực HĐND tỉnh</w:t>
      </w:r>
      <w:r w:rsidRPr="00F43CDB">
        <w:rPr>
          <w:sz w:val="28"/>
          <w:szCs w:val="28"/>
        </w:rPr>
        <w:t>. Tại phiên họp hôm nay, Chánh án T</w:t>
      </w:r>
      <w:r>
        <w:rPr>
          <w:sz w:val="28"/>
          <w:szCs w:val="28"/>
        </w:rPr>
        <w:t>AND</w:t>
      </w:r>
      <w:r w:rsidRPr="00F43CDB">
        <w:rPr>
          <w:sz w:val="28"/>
          <w:szCs w:val="28"/>
        </w:rPr>
        <w:t xml:space="preserve"> t</w:t>
      </w:r>
      <w:r>
        <w:rPr>
          <w:sz w:val="28"/>
          <w:szCs w:val="28"/>
        </w:rPr>
        <w:t xml:space="preserve">ỉnh </w:t>
      </w:r>
      <w:r w:rsidRPr="00F43CDB">
        <w:rPr>
          <w:sz w:val="28"/>
          <w:szCs w:val="28"/>
        </w:rPr>
        <w:t xml:space="preserve">xin trình bày tóm tắt báo cáo công tác của </w:t>
      </w:r>
      <w:r>
        <w:rPr>
          <w:sz w:val="28"/>
          <w:szCs w:val="28"/>
        </w:rPr>
        <w:t>TAND hai cấp tỉnh Kon Tum năm 2021</w:t>
      </w:r>
      <w:r w:rsidRPr="00F43CDB">
        <w:rPr>
          <w:sz w:val="28"/>
          <w:szCs w:val="28"/>
        </w:rPr>
        <w:t>, cụ thể như sau:</w:t>
      </w:r>
    </w:p>
    <w:p w14:paraId="5BFD5549" w14:textId="77777777" w:rsidR="00AF7DF2" w:rsidRPr="007F44A7" w:rsidRDefault="00AF7DF2" w:rsidP="008E67AC">
      <w:pPr>
        <w:pStyle w:val="NormalWeb"/>
        <w:shd w:val="clear" w:color="auto" w:fill="FFFFFF"/>
        <w:spacing w:before="120" w:beforeAutospacing="0" w:after="0" w:afterAutospacing="0"/>
        <w:ind w:firstLine="720"/>
        <w:jc w:val="both"/>
        <w:textAlignment w:val="baseline"/>
        <w:rPr>
          <w:b/>
          <w:sz w:val="28"/>
          <w:szCs w:val="28"/>
        </w:rPr>
      </w:pPr>
      <w:r w:rsidRPr="007F44A7">
        <w:rPr>
          <w:b/>
          <w:sz w:val="28"/>
          <w:szCs w:val="28"/>
        </w:rPr>
        <w:t xml:space="preserve">I. KẾT QUẢ </w:t>
      </w:r>
      <w:r>
        <w:rPr>
          <w:b/>
          <w:sz w:val="28"/>
          <w:szCs w:val="28"/>
        </w:rPr>
        <w:t>THỰC HIỆN NHIỆM VỤ CÔNG TÁC</w:t>
      </w:r>
    </w:p>
    <w:p w14:paraId="20BDBB8C" w14:textId="77777777" w:rsidR="00AF7DF2" w:rsidRPr="004D5AB5" w:rsidRDefault="00AF7DF2" w:rsidP="008E67AC">
      <w:pPr>
        <w:pStyle w:val="NormalWeb"/>
        <w:shd w:val="clear" w:color="auto" w:fill="FFFFFF"/>
        <w:spacing w:before="120" w:beforeAutospacing="0" w:after="0" w:afterAutospacing="0"/>
        <w:ind w:firstLine="720"/>
        <w:jc w:val="both"/>
        <w:textAlignment w:val="baseline"/>
        <w:rPr>
          <w:b/>
          <w:sz w:val="28"/>
          <w:szCs w:val="28"/>
        </w:rPr>
      </w:pPr>
      <w:r w:rsidRPr="004D5AB5">
        <w:rPr>
          <w:b/>
          <w:sz w:val="28"/>
          <w:szCs w:val="28"/>
        </w:rPr>
        <w:t>1. Kết quả giải quyết, xét xử các loại án</w:t>
      </w:r>
    </w:p>
    <w:p w14:paraId="29D09E29" w14:textId="77777777" w:rsidR="00AF7DF2" w:rsidRDefault="00AF7DF2" w:rsidP="008E67AC">
      <w:pPr>
        <w:tabs>
          <w:tab w:val="left" w:pos="0"/>
        </w:tabs>
        <w:spacing w:before="120" w:after="0" w:line="240" w:lineRule="auto"/>
        <w:ind w:firstLine="720"/>
        <w:jc w:val="both"/>
        <w:rPr>
          <w:rFonts w:ascii="Times New Roman" w:hAnsi="Times New Roman"/>
          <w:sz w:val="28"/>
        </w:rPr>
      </w:pPr>
      <w:r>
        <w:rPr>
          <w:rFonts w:ascii="Times New Roman" w:hAnsi="Times New Roman"/>
          <w:sz w:val="28"/>
        </w:rPr>
        <w:t>Năm 2021 (số liệu tính từ ngày 01/01/2021 - 25/10/2021) TAND hai cấp đã thụ lý, giải quyết 1.792/2.156 vụ việc, đạt tỷ lệ 83%. T</w:t>
      </w:r>
      <w:r w:rsidRPr="001F6C3F">
        <w:rPr>
          <w:rFonts w:ascii="Times New Roman" w:hAnsi="Times New Roman"/>
          <w:sz w:val="28"/>
        </w:rPr>
        <w:t>ính theo năm công tác Tòa án</w:t>
      </w:r>
      <w:r>
        <w:rPr>
          <w:rFonts w:ascii="Times New Roman" w:hAnsi="Times New Roman"/>
          <w:sz w:val="28"/>
        </w:rPr>
        <w:t xml:space="preserve"> (tính từ ngày 01/10/2020 - 30/9/2021),</w:t>
      </w:r>
      <w:r w:rsidRPr="001F6C3F">
        <w:rPr>
          <w:rFonts w:ascii="Times New Roman" w:hAnsi="Times New Roman"/>
          <w:sz w:val="28"/>
        </w:rPr>
        <w:t xml:space="preserve"> tỷ lệ giải quyết đạt cao 94%</w:t>
      </w:r>
      <w:r>
        <w:rPr>
          <w:rFonts w:ascii="Times New Roman" w:hAnsi="Times New Roman"/>
          <w:sz w:val="28"/>
        </w:rPr>
        <w:t xml:space="preserve"> (2.193/2.328 vụ), số án bị hủy, sửa do lỗi chủ quan của Thẩm phán chiếm tỷ lệ 0,14%. Cụ thể: </w:t>
      </w:r>
    </w:p>
    <w:p w14:paraId="43505C7E" w14:textId="77777777" w:rsidR="00AF7DF2" w:rsidRPr="00B24322" w:rsidRDefault="00AF7DF2" w:rsidP="008E67AC">
      <w:pPr>
        <w:spacing w:before="120" w:after="0" w:line="240" w:lineRule="auto"/>
        <w:ind w:firstLine="720"/>
        <w:jc w:val="both"/>
        <w:rPr>
          <w:rFonts w:ascii="Times New Roman" w:hAnsi="Times New Roman"/>
          <w:b/>
          <w:sz w:val="28"/>
          <w:szCs w:val="28"/>
        </w:rPr>
      </w:pPr>
      <w:r w:rsidRPr="00B24322">
        <w:rPr>
          <w:rFonts w:ascii="Times New Roman" w:hAnsi="Times New Roman"/>
          <w:b/>
          <w:sz w:val="28"/>
          <w:szCs w:val="28"/>
        </w:rPr>
        <w:t>1.1 Án hình sự</w:t>
      </w:r>
    </w:p>
    <w:p w14:paraId="7CF92031" w14:textId="77777777" w:rsidR="00AF7DF2" w:rsidRDefault="00AF7DF2" w:rsidP="008E67AC">
      <w:pPr>
        <w:pStyle w:val="NormalWeb"/>
        <w:shd w:val="clear" w:color="auto" w:fill="FFFFFF"/>
        <w:spacing w:before="120" w:beforeAutospacing="0" w:after="0" w:afterAutospacing="0"/>
        <w:ind w:firstLine="720"/>
        <w:jc w:val="both"/>
        <w:textAlignment w:val="baseline"/>
        <w:rPr>
          <w:sz w:val="28"/>
          <w:szCs w:val="28"/>
          <w:lang w:val="nl-NL"/>
        </w:rPr>
      </w:pPr>
      <w:r w:rsidRPr="006805EC">
        <w:rPr>
          <w:sz w:val="28"/>
          <w:szCs w:val="28"/>
        </w:rPr>
        <w:t xml:space="preserve">TAND hai cấp thụ lý </w:t>
      </w:r>
      <w:r>
        <w:rPr>
          <w:sz w:val="28"/>
          <w:szCs w:val="28"/>
        </w:rPr>
        <w:t>464</w:t>
      </w:r>
      <w:r w:rsidRPr="006805EC">
        <w:rPr>
          <w:sz w:val="28"/>
          <w:szCs w:val="28"/>
        </w:rPr>
        <w:t xml:space="preserve"> vụ/</w:t>
      </w:r>
      <w:r>
        <w:rPr>
          <w:sz w:val="28"/>
          <w:szCs w:val="28"/>
        </w:rPr>
        <w:t>874</w:t>
      </w:r>
      <w:r w:rsidRPr="006805EC">
        <w:rPr>
          <w:sz w:val="28"/>
          <w:szCs w:val="28"/>
        </w:rPr>
        <w:t xml:space="preserve"> bị cáo</w:t>
      </w:r>
      <w:r>
        <w:rPr>
          <w:sz w:val="28"/>
          <w:szCs w:val="28"/>
        </w:rPr>
        <w:t xml:space="preserve"> án sơ thẩm và phúc thẩm</w:t>
      </w:r>
      <w:r w:rsidRPr="006805EC">
        <w:rPr>
          <w:sz w:val="28"/>
          <w:szCs w:val="28"/>
        </w:rPr>
        <w:t xml:space="preserve">, đã giải quyết, xét xử </w:t>
      </w:r>
      <w:r>
        <w:rPr>
          <w:sz w:val="28"/>
          <w:szCs w:val="28"/>
        </w:rPr>
        <w:t>404</w:t>
      </w:r>
      <w:r w:rsidRPr="006805EC">
        <w:rPr>
          <w:sz w:val="28"/>
          <w:szCs w:val="28"/>
        </w:rPr>
        <w:t xml:space="preserve"> vụ/</w:t>
      </w:r>
      <w:r>
        <w:rPr>
          <w:sz w:val="28"/>
          <w:szCs w:val="28"/>
        </w:rPr>
        <w:t>741</w:t>
      </w:r>
      <w:r w:rsidRPr="006805EC">
        <w:rPr>
          <w:sz w:val="28"/>
          <w:szCs w:val="28"/>
        </w:rPr>
        <w:t xml:space="preserve"> bị cáo</w:t>
      </w:r>
      <w:r>
        <w:rPr>
          <w:sz w:val="28"/>
          <w:szCs w:val="28"/>
        </w:rPr>
        <w:t>,</w:t>
      </w:r>
      <w:r w:rsidRPr="006805EC">
        <w:rPr>
          <w:sz w:val="28"/>
          <w:szCs w:val="28"/>
        </w:rPr>
        <w:t xml:space="preserve"> đạt tỷ lệ 8</w:t>
      </w:r>
      <w:r>
        <w:rPr>
          <w:sz w:val="28"/>
          <w:szCs w:val="28"/>
        </w:rPr>
        <w:t>7</w:t>
      </w:r>
      <w:r w:rsidRPr="006805EC">
        <w:rPr>
          <w:sz w:val="28"/>
          <w:szCs w:val="28"/>
        </w:rPr>
        <w:t>%</w:t>
      </w:r>
      <w:r>
        <w:rPr>
          <w:sz w:val="28"/>
          <w:szCs w:val="28"/>
        </w:rPr>
        <w:t xml:space="preserve"> (s</w:t>
      </w:r>
      <w:r w:rsidRPr="006805EC">
        <w:rPr>
          <w:sz w:val="28"/>
          <w:szCs w:val="28"/>
        </w:rPr>
        <w:t>o với cùng kỳ</w:t>
      </w:r>
      <w:r>
        <w:rPr>
          <w:sz w:val="28"/>
          <w:szCs w:val="28"/>
        </w:rPr>
        <w:t xml:space="preserve"> báo cáo</w:t>
      </w:r>
      <w:r w:rsidRPr="006805EC">
        <w:rPr>
          <w:sz w:val="28"/>
          <w:szCs w:val="28"/>
        </w:rPr>
        <w:t xml:space="preserve"> năm 2020</w:t>
      </w:r>
      <w:r>
        <w:rPr>
          <w:sz w:val="28"/>
          <w:szCs w:val="28"/>
        </w:rPr>
        <w:t>,</w:t>
      </w:r>
      <w:r w:rsidRPr="006805EC">
        <w:rPr>
          <w:sz w:val="28"/>
          <w:szCs w:val="28"/>
        </w:rPr>
        <w:t xml:space="preserve"> số vụ án thụ lý tăng </w:t>
      </w:r>
      <w:r>
        <w:rPr>
          <w:sz w:val="28"/>
          <w:szCs w:val="28"/>
        </w:rPr>
        <w:t>60</w:t>
      </w:r>
      <w:r w:rsidRPr="006805EC">
        <w:rPr>
          <w:sz w:val="28"/>
          <w:szCs w:val="28"/>
        </w:rPr>
        <w:t xml:space="preserve"> vụ/1</w:t>
      </w:r>
      <w:r>
        <w:rPr>
          <w:sz w:val="28"/>
          <w:szCs w:val="28"/>
        </w:rPr>
        <w:t>54</w:t>
      </w:r>
      <w:r w:rsidRPr="006805EC">
        <w:rPr>
          <w:sz w:val="28"/>
          <w:szCs w:val="28"/>
        </w:rPr>
        <w:t xml:space="preserve"> bị cáo</w:t>
      </w:r>
      <w:r>
        <w:rPr>
          <w:sz w:val="28"/>
          <w:szCs w:val="28"/>
        </w:rPr>
        <w:t xml:space="preserve">); </w:t>
      </w:r>
      <w:r>
        <w:rPr>
          <w:sz w:val="28"/>
          <w:szCs w:val="28"/>
          <w:lang w:val="nl-NL"/>
        </w:rPr>
        <w:t xml:space="preserve">Số vụ án trả hồ sơ cho VKS để yêu cầu điều tra bổ sung </w:t>
      </w:r>
      <w:r w:rsidRPr="00521E8D">
        <w:rPr>
          <w:sz w:val="28"/>
          <w:szCs w:val="28"/>
          <w:lang w:val="nl-NL"/>
        </w:rPr>
        <w:t xml:space="preserve">15 </w:t>
      </w:r>
      <w:r>
        <w:rPr>
          <w:sz w:val="28"/>
          <w:szCs w:val="28"/>
          <w:lang w:val="nl-NL"/>
        </w:rPr>
        <w:t>vụ/60 bị cáo, trong đó có 04 vụ/05 bị cáo VKS giữ nguyên quyết định truy tố.</w:t>
      </w:r>
    </w:p>
    <w:p w14:paraId="7C54F082" w14:textId="77777777" w:rsidR="00EE5CA6" w:rsidRDefault="00EE5CA6" w:rsidP="008E67AC">
      <w:pPr>
        <w:spacing w:before="120" w:after="0" w:line="240" w:lineRule="auto"/>
        <w:ind w:firstLine="720"/>
        <w:jc w:val="both"/>
        <w:rPr>
          <w:rFonts w:ascii="Times New Roman" w:hAnsi="Times New Roman"/>
          <w:sz w:val="28"/>
          <w:szCs w:val="28"/>
        </w:rPr>
      </w:pPr>
      <w:r>
        <w:rPr>
          <w:rFonts w:ascii="Times New Roman" w:hAnsi="Times New Roman"/>
          <w:sz w:val="28"/>
          <w:szCs w:val="28"/>
          <w:lang w:val="nl-NL"/>
        </w:rPr>
        <w:t xml:space="preserve">Công tác thụ lý, giải quyết các vụ án hình sự năm 2021 của TAND hai cấp đảm bảo thực hiện đúng quy định của pháp luật; hình phạt mà </w:t>
      </w:r>
      <w:r w:rsidRPr="006805EC">
        <w:rPr>
          <w:rFonts w:ascii="Times New Roman" w:hAnsi="Times New Roman"/>
          <w:sz w:val="28"/>
          <w:szCs w:val="28"/>
          <w:lang w:val="nl-NL"/>
        </w:rPr>
        <w:t xml:space="preserve">Tòa án </w:t>
      </w:r>
      <w:r>
        <w:rPr>
          <w:rFonts w:ascii="Times New Roman" w:hAnsi="Times New Roman"/>
          <w:sz w:val="28"/>
          <w:szCs w:val="28"/>
          <w:lang w:val="nl-NL"/>
        </w:rPr>
        <w:t xml:space="preserve">áp dụng đều tương xứng với tính chất, mức độ hành vi phạm tội của các bị cáo, đáp ứng yêu cầu đấu tranh phòng, chống tội phạm. Ban cán sự Đảng, lãnh đạo Tòa án đã tập trung </w:t>
      </w:r>
      <w:r w:rsidRPr="006805EC">
        <w:rPr>
          <w:rFonts w:ascii="Times New Roman" w:hAnsi="Times New Roman"/>
          <w:sz w:val="28"/>
          <w:szCs w:val="28"/>
          <w:lang w:val="nl-NL"/>
        </w:rPr>
        <w:t xml:space="preserve">chỉ đạo </w:t>
      </w:r>
      <w:r>
        <w:rPr>
          <w:rFonts w:ascii="Times New Roman" w:hAnsi="Times New Roman"/>
          <w:sz w:val="28"/>
          <w:szCs w:val="28"/>
          <w:lang w:val="nl-NL"/>
        </w:rPr>
        <w:t>đưa ra xét xử kịp thời, đúng pháp luật nhiều vụ án nghiêm trọng, phức tạp nói chung và c</w:t>
      </w:r>
      <w:r w:rsidRPr="006805EC">
        <w:rPr>
          <w:rFonts w:ascii="Times New Roman" w:hAnsi="Times New Roman"/>
          <w:sz w:val="28"/>
          <w:szCs w:val="28"/>
          <w:lang w:val="nl-NL"/>
        </w:rPr>
        <w:t xml:space="preserve">ác </w:t>
      </w:r>
      <w:r>
        <w:rPr>
          <w:rFonts w:ascii="Times New Roman" w:hAnsi="Times New Roman"/>
          <w:sz w:val="28"/>
          <w:szCs w:val="28"/>
          <w:lang w:val="nl-NL"/>
        </w:rPr>
        <w:t>v</w:t>
      </w:r>
      <w:r>
        <w:rPr>
          <w:rFonts w:ascii="Times New Roman" w:hAnsi="Times New Roman"/>
          <w:sz w:val="28"/>
          <w:szCs w:val="28"/>
        </w:rPr>
        <w:t xml:space="preserve">ụ án thuộc diện cấp ủy địa phương theo dõi, chỉ đạo. Nhiều Tòa án có tỷ lệ giải quyết án hình sự đạt cao, không có án quá hạn luật định. </w:t>
      </w:r>
    </w:p>
    <w:p w14:paraId="619B9D0A" w14:textId="77777777" w:rsidR="00EE5CA6" w:rsidRDefault="00EE5CA6" w:rsidP="008E67AC">
      <w:pPr>
        <w:spacing w:before="120" w:after="0" w:line="240" w:lineRule="auto"/>
        <w:ind w:firstLine="720"/>
        <w:jc w:val="both"/>
        <w:rPr>
          <w:rFonts w:ascii="Times New Roman" w:hAnsi="Times New Roman"/>
          <w:sz w:val="28"/>
        </w:rPr>
      </w:pPr>
      <w:r>
        <w:rPr>
          <w:rFonts w:ascii="Times New Roman" w:hAnsi="Times New Roman"/>
          <w:sz w:val="28"/>
          <w:szCs w:val="28"/>
        </w:rPr>
        <w:t>Trong năm, các vụ án lớn, vụ án được dư luận xã hội quan tâm đều được Tòa án nhân dân hai cấp đưa ra xét xử kịp thời, nghiêm minh, xét xử đúng người, đúng tội, đúng quy định của pháp luật, không có trường hợp nào kết án oan người không có tội, hay bỏ lọt tội phạm</w:t>
      </w:r>
      <w:r>
        <w:rPr>
          <w:rFonts w:ascii="Times New Roman" w:hAnsi="Times New Roman"/>
          <w:sz w:val="28"/>
        </w:rPr>
        <w:t xml:space="preserve">. Đối với các tội phạm ít nghiêm trọng, khi bị cáo có đủ các điều kiện theo quy định của BLHS và Nghị quyết hướng dẫn của Hội đồng Thẩm phán TAND tối cao, Hội đồng xét xử đã xem xét, đánh giá về tính chất, mức độ của hành vi phạm tội và các tình tiết giảm nhẹ trách nhiệm hình </w:t>
      </w:r>
      <w:r>
        <w:rPr>
          <w:rFonts w:ascii="Times New Roman" w:hAnsi="Times New Roman"/>
          <w:sz w:val="28"/>
        </w:rPr>
        <w:lastRenderedPageBreak/>
        <w:t>sự, xem xét nhân thân của bị cáo, cho bị cáo được hưởng các hình phạt không phải là tù giam. Qua đó đã thể hiện được chính sách khoan hồng của Đảng và pháp luật của Nhà nước, đặc biệt là đối với những người phạm tội  lần đầu thuộc trường hợp ít nghiêm trọng, tự thú, tích cực hợp tác với cơ quan tiến hành tố tụng trong phát hiện tội phạm.</w:t>
      </w:r>
    </w:p>
    <w:p w14:paraId="29E4858A" w14:textId="77777777" w:rsidR="00EE5CA6" w:rsidRPr="00EE5CA6" w:rsidRDefault="00EE5CA6" w:rsidP="008E67AC">
      <w:pPr>
        <w:spacing w:before="120" w:after="0" w:line="240" w:lineRule="auto"/>
        <w:ind w:firstLine="720"/>
        <w:jc w:val="both"/>
        <w:rPr>
          <w:rFonts w:ascii="Times New Roman" w:hAnsi="Times New Roman"/>
          <w:sz w:val="28"/>
        </w:rPr>
      </w:pPr>
      <w:r>
        <w:rPr>
          <w:rFonts w:ascii="Times New Roman" w:hAnsi="Times New Roman"/>
          <w:sz w:val="28"/>
        </w:rPr>
        <w:t>Tòa án nhân dân hai cấp đã phối hợp với các cơ quan tiến hành tố tụng và chính quyền địa phương tổ chức được</w:t>
      </w:r>
      <w:r w:rsidRPr="00521E8D">
        <w:rPr>
          <w:rFonts w:ascii="Times New Roman" w:hAnsi="Times New Roman"/>
          <w:sz w:val="28"/>
        </w:rPr>
        <w:t xml:space="preserve"> 08 </w:t>
      </w:r>
      <w:r>
        <w:rPr>
          <w:rFonts w:ascii="Times New Roman" w:hAnsi="Times New Roman"/>
          <w:sz w:val="28"/>
        </w:rPr>
        <w:t>phiên tòa xét xử lưu động tại địa phương nơi xảy ra vụ án. Thông qua công tác xét xử lưu động, Hội đồng xét xử luôn chú trọng đến công tác tuyên truyền, phổ biến, giáo dục pháp luật góp phần nâng cao ý thức đấu tranh phòng, chống tội phạm trong nhân dân.</w:t>
      </w:r>
    </w:p>
    <w:p w14:paraId="3EE3D11B" w14:textId="77777777" w:rsidR="00AF7DF2" w:rsidRPr="00B24322" w:rsidRDefault="00AF7DF2" w:rsidP="008E67AC">
      <w:pPr>
        <w:spacing w:before="120" w:after="0" w:line="240" w:lineRule="auto"/>
        <w:ind w:firstLine="720"/>
        <w:jc w:val="both"/>
        <w:rPr>
          <w:rFonts w:ascii="Times New Roman" w:hAnsi="Times New Roman"/>
          <w:b/>
          <w:bCs/>
          <w:sz w:val="28"/>
          <w:szCs w:val="28"/>
        </w:rPr>
      </w:pPr>
      <w:r w:rsidRPr="00B24322">
        <w:rPr>
          <w:rFonts w:ascii="Times New Roman" w:hAnsi="Times New Roman"/>
          <w:b/>
          <w:bCs/>
          <w:sz w:val="28"/>
          <w:szCs w:val="28"/>
        </w:rPr>
        <w:t>1.2 Án dân sự, hôn nhân và gia đình, kinh doanh thương mại, lao động</w:t>
      </w:r>
    </w:p>
    <w:p w14:paraId="44D9C7B5" w14:textId="77777777" w:rsidR="0064348C" w:rsidRDefault="00AF7DF2" w:rsidP="008E67AC">
      <w:pPr>
        <w:pStyle w:val="NormalWeb"/>
        <w:shd w:val="clear" w:color="auto" w:fill="FFFFFF"/>
        <w:spacing w:before="120" w:beforeAutospacing="0" w:after="0" w:afterAutospacing="0"/>
        <w:ind w:firstLine="720"/>
        <w:jc w:val="both"/>
        <w:textAlignment w:val="baseline"/>
        <w:rPr>
          <w:bCs/>
          <w:sz w:val="28"/>
          <w:szCs w:val="28"/>
        </w:rPr>
      </w:pPr>
      <w:r w:rsidRPr="00322819">
        <w:rPr>
          <w:bCs/>
          <w:sz w:val="28"/>
          <w:szCs w:val="28"/>
        </w:rPr>
        <w:t xml:space="preserve">Tòa án nhân dân hai cấp thụ lý </w:t>
      </w:r>
      <w:r>
        <w:rPr>
          <w:bCs/>
          <w:sz w:val="28"/>
          <w:szCs w:val="28"/>
        </w:rPr>
        <w:t xml:space="preserve">1.678 vụ, việc; giải quyết 1.381 vụ, việc, đạt tỷ lệ 82%. </w:t>
      </w:r>
    </w:p>
    <w:p w14:paraId="71CF4EDB" w14:textId="77777777" w:rsidR="00EE5CA6" w:rsidRPr="00EE5CA6" w:rsidRDefault="00EE5CA6" w:rsidP="008E67AC">
      <w:pPr>
        <w:tabs>
          <w:tab w:val="left" w:pos="0"/>
        </w:tabs>
        <w:spacing w:before="120" w:after="0" w:line="240" w:lineRule="auto"/>
        <w:ind w:firstLine="720"/>
        <w:jc w:val="both"/>
        <w:rPr>
          <w:rFonts w:ascii="Times New Roman" w:hAnsi="Times New Roman"/>
          <w:bCs/>
          <w:spacing w:val="-5"/>
          <w:sz w:val="28"/>
          <w:szCs w:val="28"/>
        </w:rPr>
      </w:pPr>
      <w:r>
        <w:rPr>
          <w:rFonts w:ascii="Times New Roman" w:hAnsi="Times New Roman"/>
          <w:bCs/>
          <w:sz w:val="28"/>
          <w:szCs w:val="28"/>
        </w:rPr>
        <w:t>Trong quá trình giải quyết các vụ việc dân sự, hôn nhân và gia đình, kinh doanh thương mại, lao động, các đơn vị Tòa án nhân dân hai cấp đã chú trọng công tác hòa giải; trong năm đã hòa giải đoàn tụ thành 134 vụ ly hôn, hòa giải và công nhận sự thỏa thuận của các đương sự 778 vụ, việc, đạt tỷ lệ 67</w:t>
      </w:r>
      <w:r w:rsidRPr="004037EE">
        <w:rPr>
          <w:rFonts w:ascii="Times New Roman" w:hAnsi="Times New Roman"/>
          <w:bCs/>
          <w:sz w:val="28"/>
          <w:szCs w:val="28"/>
        </w:rPr>
        <w:t>%</w:t>
      </w:r>
      <w:r>
        <w:rPr>
          <w:rFonts w:ascii="Times New Roman" w:hAnsi="Times New Roman"/>
          <w:bCs/>
          <w:sz w:val="28"/>
          <w:szCs w:val="28"/>
        </w:rPr>
        <w:t xml:space="preserve"> (912/1352 trên tổng số vụ việc sơ thẩm đã giải quyết; thực hiện tốt việc phối hợp với các cơ quan hữu quan và chính quyền các cấp ở địa phương trong việc thu thập các tài liệu, chứng cứ, xem xét thẩm định tại chỗ, định giá tài sản, nhất là các vụ án dân sự về tranh chấp đất đai; quan tâm hướng dẫn cho các đương sự thực hiện nghĩa vụ về cung cấp, tiếp cận, công khai chứng cứ và hòa giải,  đồng thời tích cực xác minh, thu thập chứng cứ </w:t>
      </w:r>
      <w:r w:rsidRPr="00341294">
        <w:rPr>
          <w:rFonts w:ascii="Times New Roman" w:hAnsi="Times New Roman"/>
          <w:bCs/>
          <w:spacing w:val="-5"/>
          <w:sz w:val="28"/>
          <w:szCs w:val="28"/>
        </w:rPr>
        <w:t xml:space="preserve">trong những trường hợp cần thiết theo quy định để giải quyết vụ </w:t>
      </w:r>
      <w:r>
        <w:rPr>
          <w:rFonts w:ascii="Times New Roman" w:hAnsi="Times New Roman"/>
          <w:bCs/>
          <w:spacing w:val="-5"/>
          <w:sz w:val="28"/>
          <w:szCs w:val="28"/>
        </w:rPr>
        <w:t>,</w:t>
      </w:r>
      <w:r w:rsidRPr="00341294">
        <w:rPr>
          <w:rFonts w:ascii="Times New Roman" w:hAnsi="Times New Roman"/>
          <w:bCs/>
          <w:spacing w:val="-5"/>
          <w:sz w:val="28"/>
          <w:szCs w:val="28"/>
        </w:rPr>
        <w:t>việc đúng pháp luật.</w:t>
      </w:r>
    </w:p>
    <w:p w14:paraId="39111B2C" w14:textId="77777777" w:rsidR="00AF7DF2" w:rsidRDefault="00AF7DF2" w:rsidP="008E67AC">
      <w:pPr>
        <w:pStyle w:val="NormalWeb"/>
        <w:shd w:val="clear" w:color="auto" w:fill="FFFFFF"/>
        <w:spacing w:before="120" w:beforeAutospacing="0" w:after="0" w:afterAutospacing="0"/>
        <w:ind w:firstLine="720"/>
        <w:jc w:val="both"/>
        <w:textAlignment w:val="baseline"/>
        <w:rPr>
          <w:sz w:val="28"/>
          <w:szCs w:val="28"/>
          <w:shd w:val="clear" w:color="auto" w:fill="FFFFFF"/>
        </w:rPr>
      </w:pPr>
      <w:r>
        <w:rPr>
          <w:b/>
          <w:bCs/>
          <w:sz w:val="28"/>
          <w:szCs w:val="28"/>
        </w:rPr>
        <w:t>1.3</w:t>
      </w:r>
      <w:r w:rsidRPr="00425D10">
        <w:rPr>
          <w:b/>
          <w:bCs/>
          <w:sz w:val="28"/>
          <w:szCs w:val="28"/>
        </w:rPr>
        <w:t xml:space="preserve"> Án hành chính</w:t>
      </w:r>
      <w:r w:rsidRPr="00425D10">
        <w:rPr>
          <w:bCs/>
          <w:sz w:val="28"/>
          <w:szCs w:val="28"/>
        </w:rPr>
        <w:t xml:space="preserve">: </w:t>
      </w:r>
      <w:r w:rsidRPr="001D1480">
        <w:rPr>
          <w:bCs/>
          <w:sz w:val="28"/>
          <w:szCs w:val="28"/>
        </w:rPr>
        <w:t>Tòa án nhân dân hai cấp thụ lý 14 vụ, đã giải quyết 07 vụ, đạt tỷ lệ 50%.</w:t>
      </w:r>
      <w:r w:rsidRPr="001D1480">
        <w:rPr>
          <w:sz w:val="28"/>
          <w:szCs w:val="28"/>
          <w:shd w:val="clear" w:color="auto" w:fill="FFFFFF"/>
        </w:rPr>
        <w:t xml:space="preserve"> </w:t>
      </w:r>
    </w:p>
    <w:p w14:paraId="604C4B50" w14:textId="77777777" w:rsidR="00177B62" w:rsidRPr="00177B62" w:rsidRDefault="00177B62" w:rsidP="008E67AC">
      <w:pPr>
        <w:tabs>
          <w:tab w:val="left" w:pos="0"/>
        </w:tabs>
        <w:spacing w:before="120" w:after="0" w:line="240" w:lineRule="auto"/>
        <w:ind w:firstLine="720"/>
        <w:jc w:val="both"/>
        <w:rPr>
          <w:rFonts w:ascii="Times New Roman" w:hAnsi="Times New Roman"/>
          <w:sz w:val="28"/>
        </w:rPr>
      </w:pPr>
      <w:r>
        <w:rPr>
          <w:rFonts w:ascii="Times New Roman" w:hAnsi="Times New Roman"/>
          <w:sz w:val="28"/>
        </w:rPr>
        <w:t>Tình hình khởi kiện vụ án hành chính trong năm 2021 giảm hơn so với cùng kỳ năm 2020, nội dung khởi kiện tập trung chủ yếu trong lĩnh vực quản lý nhà nước về đất đai. Tòa án nhân dân hai cấp làm tốt công tác xây dựng hồ sơ vụ án, thu thập đầy đủ chứng cứ cần thiết; chú trọng tổ chức đối thoại giữa các bên đương sự và đưa vụ án ra giải quyết, xét xử theo đúng quy định của pháp luật, góp phần  nâng cao hiệu quả hoạt động quản lý hành chính nhà nước ở địa phương và bảo đảm quyền khởi kiện hành chính của nhân dân theo quy định của pháp luật.</w:t>
      </w:r>
    </w:p>
    <w:p w14:paraId="69F21E37" w14:textId="77777777" w:rsidR="00AF7DF2" w:rsidRPr="00CC6F59" w:rsidRDefault="00AF7DF2" w:rsidP="008E67AC">
      <w:pPr>
        <w:spacing w:before="120" w:after="0" w:line="240" w:lineRule="auto"/>
        <w:ind w:firstLine="720"/>
        <w:jc w:val="both"/>
        <w:rPr>
          <w:rFonts w:ascii="Times New Roman" w:hAnsi="Times New Roman"/>
          <w:spacing w:val="-5"/>
          <w:sz w:val="28"/>
          <w:szCs w:val="28"/>
        </w:rPr>
      </w:pPr>
      <w:r>
        <w:rPr>
          <w:rFonts w:ascii="Times New Roman" w:hAnsi="Times New Roman"/>
          <w:b/>
          <w:bCs/>
          <w:spacing w:val="-5"/>
          <w:sz w:val="28"/>
          <w:szCs w:val="28"/>
        </w:rPr>
        <w:t>2</w:t>
      </w:r>
      <w:r w:rsidRPr="00F92E30">
        <w:rPr>
          <w:rFonts w:ascii="Times New Roman" w:hAnsi="Times New Roman"/>
          <w:b/>
          <w:bCs/>
          <w:spacing w:val="-5"/>
          <w:sz w:val="28"/>
          <w:szCs w:val="28"/>
        </w:rPr>
        <w:t>.</w:t>
      </w:r>
      <w:r w:rsidRPr="00681E99">
        <w:rPr>
          <w:rFonts w:ascii="Times New Roman" w:hAnsi="Times New Roman"/>
          <w:spacing w:val="-5"/>
          <w:sz w:val="28"/>
          <w:szCs w:val="28"/>
        </w:rPr>
        <w:t xml:space="preserve"> Công tác kiểm tra nghiệp vụ, thi hành án hình sự</w:t>
      </w:r>
      <w:r>
        <w:rPr>
          <w:rFonts w:ascii="Times New Roman" w:hAnsi="Times New Roman"/>
          <w:spacing w:val="-5"/>
          <w:sz w:val="28"/>
          <w:szCs w:val="28"/>
        </w:rPr>
        <w:t xml:space="preserve">: </w:t>
      </w:r>
      <w:r>
        <w:rPr>
          <w:rFonts w:ascii="Times New Roman" w:hAnsi="Times New Roman"/>
          <w:sz w:val="28"/>
          <w:szCs w:val="28"/>
        </w:rPr>
        <w:t>Việc ra các quyết định thi hành án hình sự luôn được thực hiện kịp thời, không để quá hạn luật định, có căn cứ và đúng quy định. 100% các bản án có hiệu lực pháp luật đều ra quyết định thi hành án</w:t>
      </w:r>
      <w:r w:rsidR="00177B62">
        <w:rPr>
          <w:rFonts w:ascii="Times New Roman" w:hAnsi="Times New Roman"/>
          <w:sz w:val="28"/>
          <w:szCs w:val="28"/>
        </w:rPr>
        <w:t xml:space="preserve"> (</w:t>
      </w:r>
      <w:r>
        <w:rPr>
          <w:rFonts w:ascii="Times New Roman" w:hAnsi="Times New Roman"/>
          <w:sz w:val="28"/>
          <w:szCs w:val="28"/>
        </w:rPr>
        <w:t xml:space="preserve">thi hành án hình sự đối với 603 bị án, ủy thác cho Tòa án khác ra quyết định 46 bị án, giảm một phần thời hạn chấp hành hình phạt tù cho 15 phạm nhân, rút ngắn thời hạn thử thách án treo 15 trường hợp, giảm thời hạn chấp hành hình phạt cải tạo không giam giữ 09 trường hợp, hoãn thi hành án 09 bị án) </w:t>
      </w:r>
      <w:r w:rsidRPr="00425D10">
        <w:rPr>
          <w:rFonts w:ascii="Times New Roman" w:hAnsi="Times New Roman"/>
          <w:sz w:val="28"/>
          <w:szCs w:val="28"/>
        </w:rPr>
        <w:t xml:space="preserve">. </w:t>
      </w:r>
    </w:p>
    <w:p w14:paraId="087E223D" w14:textId="77777777" w:rsidR="00AF7DF2" w:rsidRDefault="00AF7DF2" w:rsidP="008E67AC">
      <w:pPr>
        <w:spacing w:before="120" w:after="0" w:line="240" w:lineRule="auto"/>
        <w:ind w:firstLine="720"/>
        <w:jc w:val="both"/>
        <w:rPr>
          <w:rFonts w:ascii="Times New Roman" w:hAnsi="Times New Roman"/>
          <w:iCs/>
          <w:sz w:val="28"/>
          <w:szCs w:val="28"/>
        </w:rPr>
      </w:pPr>
      <w:r>
        <w:rPr>
          <w:rFonts w:ascii="Times New Roman" w:hAnsi="Times New Roman"/>
          <w:b/>
          <w:bCs/>
          <w:sz w:val="28"/>
          <w:szCs w:val="28"/>
        </w:rPr>
        <w:t>3</w:t>
      </w:r>
      <w:r w:rsidRPr="00CC6F59">
        <w:rPr>
          <w:rFonts w:ascii="Times New Roman" w:hAnsi="Times New Roman"/>
          <w:sz w:val="28"/>
          <w:szCs w:val="28"/>
        </w:rPr>
        <w:t>. Công tác giải quyết đơn thư</w:t>
      </w:r>
      <w:r>
        <w:rPr>
          <w:rFonts w:ascii="Times New Roman" w:hAnsi="Times New Roman"/>
          <w:sz w:val="28"/>
          <w:szCs w:val="28"/>
        </w:rPr>
        <w:t xml:space="preserve"> khiếu nại, tố cáo:  Không có đơn thư về khiếu nại, tố cáo cán bộ, công chức. Chỉ có đơn thư khiếu nại về tố tụng: Giải </w:t>
      </w:r>
      <w:r>
        <w:rPr>
          <w:rFonts w:ascii="Times New Roman" w:hAnsi="Times New Roman"/>
          <w:sz w:val="28"/>
          <w:szCs w:val="28"/>
        </w:rPr>
        <w:lastRenderedPageBreak/>
        <w:t xml:space="preserve">quyết 26/26 đơn khiếu nại nại. Giải quyết 05/05 đơn tố cáo. </w:t>
      </w:r>
      <w:r w:rsidRPr="009664CF">
        <w:rPr>
          <w:rFonts w:ascii="Times New Roman" w:hAnsi="Times New Roman"/>
          <w:bCs/>
          <w:iCs/>
          <w:sz w:val="28"/>
          <w:szCs w:val="28"/>
        </w:rPr>
        <w:t xml:space="preserve">Tất cả </w:t>
      </w:r>
      <w:r>
        <w:rPr>
          <w:rFonts w:ascii="Times New Roman" w:hAnsi="Times New Roman"/>
          <w:bCs/>
          <w:iCs/>
          <w:sz w:val="28"/>
          <w:szCs w:val="28"/>
        </w:rPr>
        <w:t xml:space="preserve">các </w:t>
      </w:r>
      <w:r w:rsidRPr="009664CF">
        <w:rPr>
          <w:rFonts w:ascii="Times New Roman" w:hAnsi="Times New Roman"/>
          <w:bCs/>
          <w:iCs/>
          <w:sz w:val="28"/>
          <w:szCs w:val="28"/>
        </w:rPr>
        <w:t>đơn gửi đến Tòa án đều được tiếp nhận và xử lý chính xác, không để xảy ra tình trạng xử lý sai nội dung, sai thẩm quyền</w:t>
      </w:r>
      <w:r w:rsidRPr="009664CF">
        <w:rPr>
          <w:rFonts w:ascii="Times New Roman" w:hAnsi="Times New Roman"/>
          <w:iCs/>
          <w:sz w:val="28"/>
          <w:szCs w:val="28"/>
        </w:rPr>
        <w:t>.</w:t>
      </w:r>
      <w:r>
        <w:rPr>
          <w:rFonts w:ascii="Times New Roman" w:hAnsi="Times New Roman"/>
          <w:iCs/>
          <w:sz w:val="28"/>
          <w:szCs w:val="28"/>
        </w:rPr>
        <w:t xml:space="preserve"> </w:t>
      </w:r>
    </w:p>
    <w:p w14:paraId="69F4341B" w14:textId="77777777" w:rsidR="00177B62" w:rsidRPr="00B170DB" w:rsidRDefault="00177B62" w:rsidP="008E67AC">
      <w:pPr>
        <w:pStyle w:val="NormalWeb"/>
        <w:shd w:val="clear" w:color="auto" w:fill="FFFFFF"/>
        <w:spacing w:before="120" w:beforeAutospacing="0" w:after="0" w:afterAutospacing="0"/>
        <w:ind w:firstLine="720"/>
        <w:jc w:val="both"/>
        <w:textAlignment w:val="baseline"/>
        <w:rPr>
          <w:sz w:val="28"/>
          <w:szCs w:val="28"/>
        </w:rPr>
      </w:pPr>
      <w:r w:rsidRPr="00177B62">
        <w:rPr>
          <w:b/>
          <w:sz w:val="28"/>
          <w:szCs w:val="28"/>
        </w:rPr>
        <w:t>4.</w:t>
      </w:r>
      <w:r w:rsidRPr="00F43CDB">
        <w:rPr>
          <w:sz w:val="28"/>
          <w:szCs w:val="28"/>
        </w:rPr>
        <w:t xml:space="preserve"> Làm tốt công tác phối hợp với các cơ quan tiến hành tố tụng và các cơ quan có liên quan</w:t>
      </w:r>
      <w:r>
        <w:rPr>
          <w:sz w:val="28"/>
          <w:szCs w:val="28"/>
        </w:rPr>
        <w:t xml:space="preserve">: </w:t>
      </w:r>
      <w:r w:rsidRPr="00F43CDB">
        <w:rPr>
          <w:sz w:val="28"/>
          <w:szCs w:val="28"/>
        </w:rPr>
        <w:t xml:space="preserve">Tăng cường phối hợp chặt chẽ, có hiệu quả với các </w:t>
      </w:r>
      <w:r>
        <w:rPr>
          <w:sz w:val="28"/>
          <w:szCs w:val="28"/>
        </w:rPr>
        <w:t xml:space="preserve">cấp, các </w:t>
      </w:r>
      <w:r w:rsidRPr="00F43CDB">
        <w:rPr>
          <w:sz w:val="28"/>
          <w:szCs w:val="28"/>
        </w:rPr>
        <w:t>ngành, đặc biệt là giữa các cơ quan tiến hành tố tụng với nhau, giữa Tòa án nhân dân t</w:t>
      </w:r>
      <w:r>
        <w:rPr>
          <w:sz w:val="28"/>
          <w:szCs w:val="28"/>
        </w:rPr>
        <w:t>ỉnh</w:t>
      </w:r>
      <w:r w:rsidRPr="00F43CDB">
        <w:rPr>
          <w:sz w:val="28"/>
          <w:szCs w:val="28"/>
        </w:rPr>
        <w:t xml:space="preserve"> và các Tòa án </w:t>
      </w:r>
      <w:r>
        <w:rPr>
          <w:sz w:val="28"/>
          <w:szCs w:val="28"/>
        </w:rPr>
        <w:t>cấp huyện</w:t>
      </w:r>
      <w:r w:rsidRPr="00F43CDB">
        <w:rPr>
          <w:sz w:val="28"/>
          <w:szCs w:val="28"/>
        </w:rPr>
        <w:t>, các cơ quan trong khối nội chính trong quá trình giải quyết các loại vụ việc.</w:t>
      </w:r>
      <w:r w:rsidRPr="00B170DB">
        <w:rPr>
          <w:sz w:val="28"/>
          <w:szCs w:val="28"/>
        </w:rPr>
        <w:t xml:space="preserve"> </w:t>
      </w:r>
    </w:p>
    <w:p w14:paraId="587FE79E" w14:textId="77777777" w:rsidR="00AF7DF2" w:rsidRPr="00B170DB" w:rsidRDefault="00177B62" w:rsidP="008E67AC">
      <w:pPr>
        <w:spacing w:before="120" w:after="0" w:line="240" w:lineRule="auto"/>
        <w:ind w:firstLine="720"/>
        <w:jc w:val="both"/>
        <w:rPr>
          <w:rFonts w:ascii="Times New Roman" w:hAnsi="Times New Roman"/>
          <w:sz w:val="28"/>
        </w:rPr>
      </w:pPr>
      <w:r>
        <w:rPr>
          <w:rFonts w:ascii="Times New Roman" w:hAnsi="Times New Roman"/>
          <w:b/>
          <w:bCs/>
          <w:sz w:val="28"/>
        </w:rPr>
        <w:t>5</w:t>
      </w:r>
      <w:r w:rsidR="00AF7DF2" w:rsidRPr="00B170DB">
        <w:rPr>
          <w:rFonts w:ascii="Times New Roman" w:hAnsi="Times New Roman"/>
          <w:sz w:val="28"/>
        </w:rPr>
        <w:t>. Công tác tổ chức cán bộ, xây dựng TAND hai cấp</w:t>
      </w:r>
      <w:r w:rsidR="00AF7DF2">
        <w:rPr>
          <w:rFonts w:ascii="Times New Roman" w:hAnsi="Times New Roman"/>
          <w:sz w:val="28"/>
        </w:rPr>
        <w:t xml:space="preserve">: </w:t>
      </w:r>
      <w:r w:rsidR="00AF7DF2">
        <w:rPr>
          <w:rFonts w:ascii="Times New Roman" w:hAnsi="Times New Roman"/>
          <w:color w:val="000000"/>
          <w:spacing w:val="-4"/>
          <w:sz w:val="28"/>
          <w:szCs w:val="28"/>
          <w:lang w:val="nl-NL"/>
        </w:rPr>
        <w:t xml:space="preserve">Ban cán sự Đảng, lãnh đạo </w:t>
      </w:r>
      <w:r w:rsidR="00AF7DF2" w:rsidRPr="00674492">
        <w:rPr>
          <w:rFonts w:ascii="Times New Roman" w:hAnsi="Times New Roman"/>
          <w:color w:val="000000"/>
          <w:spacing w:val="-4"/>
          <w:sz w:val="28"/>
          <w:szCs w:val="28"/>
          <w:lang w:val="nl-NL"/>
        </w:rPr>
        <w:t>Tòa án nhân dân tỉnh luôn quan tâm công tác rà soát, xây dựng, bổ sung quy hoạch cán bộ hàng năm và từng giai đoạn; quan tâm công tác đào tạo và bồi dưỡng cán bộ; phối hợp với cấp ủy địa phương để làm tốt quy trình bổ nhiệm, bổ nhiệm lại cán bộ TAND hai cấp; việc luân chuyển,</w:t>
      </w:r>
      <w:r w:rsidR="00AF7DF2">
        <w:rPr>
          <w:rFonts w:ascii="Times New Roman" w:hAnsi="Times New Roman"/>
          <w:color w:val="000000"/>
          <w:spacing w:val="-4"/>
          <w:sz w:val="28"/>
          <w:szCs w:val="28"/>
          <w:lang w:val="nl-NL"/>
        </w:rPr>
        <w:t xml:space="preserve"> điều động,</w:t>
      </w:r>
      <w:r w:rsidR="00AF7DF2" w:rsidRPr="00674492">
        <w:rPr>
          <w:rFonts w:ascii="Times New Roman" w:hAnsi="Times New Roman"/>
          <w:color w:val="000000"/>
          <w:spacing w:val="-4"/>
          <w:sz w:val="28"/>
          <w:szCs w:val="28"/>
          <w:lang w:val="nl-NL"/>
        </w:rPr>
        <w:t xml:space="preserve"> chuyển đổi vị trí công tác </w:t>
      </w:r>
      <w:r w:rsidR="00AF7DF2">
        <w:rPr>
          <w:rFonts w:ascii="Times New Roman" w:hAnsi="Times New Roman"/>
          <w:color w:val="000000"/>
          <w:spacing w:val="-4"/>
          <w:sz w:val="28"/>
          <w:szCs w:val="28"/>
          <w:lang w:val="nl-NL"/>
        </w:rPr>
        <w:t xml:space="preserve">đối với cán bộ, công chức </w:t>
      </w:r>
      <w:r w:rsidR="00AF7DF2" w:rsidRPr="00674492">
        <w:rPr>
          <w:rFonts w:ascii="Times New Roman" w:hAnsi="Times New Roman"/>
          <w:color w:val="000000"/>
          <w:spacing w:val="-4"/>
          <w:sz w:val="28"/>
          <w:szCs w:val="28"/>
          <w:lang w:val="nl-NL"/>
        </w:rPr>
        <w:t>được quán triệt thực hiện theo đúng Kế hoạch</w:t>
      </w:r>
      <w:r w:rsidR="00AF7DF2">
        <w:rPr>
          <w:rFonts w:ascii="Times New Roman" w:hAnsi="Times New Roman"/>
          <w:color w:val="000000"/>
          <w:spacing w:val="-4"/>
          <w:sz w:val="28"/>
          <w:szCs w:val="28"/>
          <w:lang w:val="nl-NL"/>
        </w:rPr>
        <w:t xml:space="preserve"> đã đề ra</w:t>
      </w:r>
      <w:r w:rsidR="00AF7DF2" w:rsidRPr="00674492">
        <w:rPr>
          <w:rFonts w:ascii="Times New Roman" w:hAnsi="Times New Roman"/>
          <w:color w:val="000000"/>
          <w:spacing w:val="-4"/>
          <w:sz w:val="28"/>
          <w:szCs w:val="28"/>
          <w:lang w:val="nl-NL"/>
        </w:rPr>
        <w:t xml:space="preserve">. </w:t>
      </w:r>
    </w:p>
    <w:p w14:paraId="3DE5833F" w14:textId="77777777" w:rsidR="00AF7DF2" w:rsidRDefault="00177B62" w:rsidP="008E67AC">
      <w:pPr>
        <w:pStyle w:val="NormalWeb"/>
        <w:shd w:val="clear" w:color="auto" w:fill="FFFFFF"/>
        <w:spacing w:before="120" w:beforeAutospacing="0" w:after="0" w:afterAutospacing="0"/>
        <w:ind w:firstLine="720"/>
        <w:jc w:val="both"/>
        <w:textAlignment w:val="baseline"/>
        <w:rPr>
          <w:sz w:val="28"/>
          <w:szCs w:val="28"/>
        </w:rPr>
      </w:pPr>
      <w:r>
        <w:rPr>
          <w:b/>
          <w:sz w:val="28"/>
          <w:szCs w:val="28"/>
        </w:rPr>
        <w:t>6</w:t>
      </w:r>
      <w:r w:rsidR="00AF7DF2" w:rsidRPr="008D4C15">
        <w:rPr>
          <w:b/>
          <w:sz w:val="28"/>
          <w:szCs w:val="28"/>
        </w:rPr>
        <w:t>.</w:t>
      </w:r>
      <w:r w:rsidR="00AF7DF2" w:rsidRPr="00B170DB">
        <w:rPr>
          <w:sz w:val="28"/>
          <w:szCs w:val="28"/>
        </w:rPr>
        <w:t xml:space="preserve"> </w:t>
      </w:r>
      <w:r w:rsidR="00AF7DF2">
        <w:rPr>
          <w:sz w:val="28"/>
          <w:szCs w:val="28"/>
        </w:rPr>
        <w:t xml:space="preserve">Công tác </w:t>
      </w:r>
      <w:r w:rsidR="00AF7DF2" w:rsidRPr="00B170DB">
        <w:rPr>
          <w:sz w:val="28"/>
          <w:szCs w:val="28"/>
        </w:rPr>
        <w:t>Hội thẩm nhân dân</w:t>
      </w:r>
      <w:r w:rsidR="00AF7DF2">
        <w:rPr>
          <w:sz w:val="28"/>
          <w:szCs w:val="28"/>
        </w:rPr>
        <w:t>:</w:t>
      </w:r>
      <w:r w:rsidR="00AF7DF2" w:rsidRPr="00F43CDB">
        <w:rPr>
          <w:sz w:val="28"/>
          <w:szCs w:val="28"/>
        </w:rPr>
        <w:t xml:space="preserve"> </w:t>
      </w:r>
      <w:r w:rsidR="00AF7DF2">
        <w:rPr>
          <w:sz w:val="28"/>
          <w:szCs w:val="28"/>
        </w:rPr>
        <w:t xml:space="preserve">Hội thẩm nhân dân </w:t>
      </w:r>
      <w:r w:rsidR="00AF7DF2" w:rsidRPr="00F43CDB">
        <w:rPr>
          <w:sz w:val="28"/>
          <w:szCs w:val="28"/>
        </w:rPr>
        <w:t>Tòa án nhân dân</w:t>
      </w:r>
      <w:r w:rsidR="00AF7DF2">
        <w:rPr>
          <w:sz w:val="28"/>
          <w:szCs w:val="28"/>
        </w:rPr>
        <w:t xml:space="preserve"> hai cấp tổng số </w:t>
      </w:r>
      <w:r w:rsidR="00AF7DF2" w:rsidRPr="00F43CDB">
        <w:rPr>
          <w:sz w:val="28"/>
          <w:szCs w:val="28"/>
        </w:rPr>
        <w:t xml:space="preserve">có </w:t>
      </w:r>
      <w:r w:rsidR="00AF7DF2">
        <w:rPr>
          <w:sz w:val="28"/>
          <w:szCs w:val="28"/>
        </w:rPr>
        <w:t xml:space="preserve">248 vị </w:t>
      </w:r>
      <w:r w:rsidR="00AF7DF2" w:rsidRPr="00F43CDB">
        <w:rPr>
          <w:sz w:val="28"/>
          <w:szCs w:val="28"/>
        </w:rPr>
        <w:t xml:space="preserve"> H</w:t>
      </w:r>
      <w:r w:rsidR="00AF7DF2">
        <w:rPr>
          <w:sz w:val="28"/>
          <w:szCs w:val="28"/>
        </w:rPr>
        <w:t>TND</w:t>
      </w:r>
      <w:r w:rsidR="00AF7DF2" w:rsidRPr="00F43CDB">
        <w:rPr>
          <w:sz w:val="28"/>
          <w:szCs w:val="28"/>
        </w:rPr>
        <w:t xml:space="preserve"> hiện</w:t>
      </w:r>
      <w:r w:rsidR="00AF7DF2">
        <w:rPr>
          <w:sz w:val="28"/>
          <w:szCs w:val="28"/>
        </w:rPr>
        <w:t xml:space="preserve"> đã</w:t>
      </w:r>
      <w:r w:rsidR="00AF7DF2" w:rsidRPr="00F43CDB">
        <w:rPr>
          <w:sz w:val="28"/>
          <w:szCs w:val="28"/>
        </w:rPr>
        <w:t xml:space="preserve"> đủ số lượng, chất lượng đáp ứng yêu cầu công tác xét xử</w:t>
      </w:r>
      <w:r w:rsidR="00AF7DF2">
        <w:rPr>
          <w:sz w:val="28"/>
          <w:szCs w:val="28"/>
        </w:rPr>
        <w:t>, đã</w:t>
      </w:r>
      <w:r w:rsidR="00AF7DF2" w:rsidRPr="00F43CDB">
        <w:rPr>
          <w:sz w:val="28"/>
          <w:szCs w:val="28"/>
        </w:rPr>
        <w:t xml:space="preserve"> thành lập đủ </w:t>
      </w:r>
      <w:r w:rsidR="00AF7DF2">
        <w:rPr>
          <w:sz w:val="28"/>
          <w:szCs w:val="28"/>
        </w:rPr>
        <w:t>trưởng, phó các</w:t>
      </w:r>
      <w:r w:rsidR="00AF7DF2" w:rsidRPr="00F43CDB">
        <w:rPr>
          <w:sz w:val="28"/>
          <w:szCs w:val="28"/>
        </w:rPr>
        <w:t xml:space="preserve"> Đoàn hội thẩm.</w:t>
      </w:r>
      <w:r w:rsidR="00AF7DF2">
        <w:rPr>
          <w:sz w:val="28"/>
          <w:szCs w:val="28"/>
        </w:rPr>
        <w:t xml:space="preserve"> Tòa án nhân dân tỉnh đã tổ chức tập huấn cho</w:t>
      </w:r>
      <w:r w:rsidR="00AF7DF2" w:rsidRPr="00F43CDB">
        <w:rPr>
          <w:sz w:val="28"/>
          <w:szCs w:val="28"/>
        </w:rPr>
        <w:t xml:space="preserve"> Đội ngũ H</w:t>
      </w:r>
      <w:r w:rsidR="00AF7DF2">
        <w:rPr>
          <w:sz w:val="28"/>
          <w:szCs w:val="28"/>
        </w:rPr>
        <w:t>TND năm 2021</w:t>
      </w:r>
      <w:r w:rsidR="00AF7DF2" w:rsidRPr="00F43CDB">
        <w:rPr>
          <w:sz w:val="28"/>
          <w:szCs w:val="28"/>
        </w:rPr>
        <w:t xml:space="preserve"> </w:t>
      </w:r>
      <w:r w:rsidR="00AF7DF2">
        <w:rPr>
          <w:sz w:val="28"/>
          <w:szCs w:val="28"/>
        </w:rPr>
        <w:t>nhằm</w:t>
      </w:r>
      <w:r w:rsidR="00AF7DF2" w:rsidRPr="00F43CDB">
        <w:rPr>
          <w:sz w:val="28"/>
          <w:szCs w:val="28"/>
        </w:rPr>
        <w:t xml:space="preserve"> bồi dưỡng nghiệp v</w:t>
      </w:r>
      <w:r w:rsidR="00AF7DF2">
        <w:rPr>
          <w:sz w:val="28"/>
          <w:szCs w:val="28"/>
        </w:rPr>
        <w:t>ụ</w:t>
      </w:r>
      <w:r w:rsidR="00AF7DF2" w:rsidRPr="00F43CDB">
        <w:rPr>
          <w:sz w:val="28"/>
          <w:szCs w:val="28"/>
        </w:rPr>
        <w:t xml:space="preserve">, </w:t>
      </w:r>
      <w:r w:rsidR="00AF7DF2">
        <w:rPr>
          <w:sz w:val="28"/>
          <w:szCs w:val="28"/>
        </w:rPr>
        <w:t>để tham gia xét xử cùng</w:t>
      </w:r>
      <w:r w:rsidR="00AF7DF2" w:rsidRPr="00F43CDB">
        <w:rPr>
          <w:sz w:val="28"/>
          <w:szCs w:val="28"/>
        </w:rPr>
        <w:t xml:space="preserve"> Tòa án hoàn thành tốt nhiệm vụ chính trị được giao.</w:t>
      </w:r>
    </w:p>
    <w:p w14:paraId="28E8E27A" w14:textId="77777777" w:rsidR="003C6578" w:rsidRDefault="00177B62" w:rsidP="008E67AC">
      <w:pPr>
        <w:spacing w:before="120"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b/>
          <w:sz w:val="28"/>
          <w:szCs w:val="28"/>
        </w:rPr>
        <w:t>7</w:t>
      </w:r>
      <w:r w:rsidR="00AF7DF2" w:rsidRPr="00577CFC">
        <w:rPr>
          <w:rFonts w:ascii="Times New Roman" w:hAnsi="Times New Roman" w:cs="Times New Roman"/>
          <w:b/>
          <w:sz w:val="28"/>
          <w:szCs w:val="28"/>
        </w:rPr>
        <w:t>.</w:t>
      </w:r>
      <w:r w:rsidR="00AF7DF2" w:rsidRPr="00577CFC">
        <w:rPr>
          <w:rFonts w:ascii="Times New Roman" w:hAnsi="Times New Roman" w:cs="Times New Roman"/>
          <w:sz w:val="28"/>
          <w:szCs w:val="28"/>
        </w:rPr>
        <w:t xml:space="preserve"> </w:t>
      </w:r>
      <w:r w:rsidR="00AF7DF2" w:rsidRPr="00577CFC">
        <w:rPr>
          <w:rFonts w:ascii="Times New Roman" w:eastAsia="Times New Roman" w:hAnsi="Times New Roman" w:cs="Times New Roman"/>
          <w:bCs/>
          <w:kern w:val="28"/>
          <w:sz w:val="28"/>
          <w:szCs w:val="28"/>
          <w:lang w:val="pt-BR"/>
        </w:rPr>
        <w:t xml:space="preserve">Tình hình và kết quả thi hành Luật Hòa giải, đối thoại tại Tòa án: </w:t>
      </w:r>
      <w:r w:rsidR="00AF7DF2" w:rsidRPr="00577CFC">
        <w:rPr>
          <w:rFonts w:ascii="Times New Roman" w:eastAsia="Times New Roman" w:hAnsi="Times New Roman" w:cs="Times New Roman"/>
          <w:sz w:val="28"/>
          <w:szCs w:val="28"/>
        </w:rPr>
        <w:t xml:space="preserve">Kết quả, đã bổ nhiệm được 12 Hòa giải viên đủ điều kiện, tiêu chuẩn theo quy định của Luật. Hiện nay đang tiếp tục phối hợp với  chính quyền địa phương trong tỉnh để tìm nguồn nhân sự đủ điều kiện bổ nhiệm Hòa giải viên cho những đơn vị chưa có Hòa giải viên. Từ tháng 01/2021 đến 30/9/2021, Tòa án nhân dân cấp huyện đã tổ chức hòa giải, đối thoại thành được 67 vụ việc theo Luật Hòa giải, đối thoại tại Tòa án. </w:t>
      </w:r>
      <w:r w:rsidR="00AF7DF2" w:rsidRPr="00577CFC">
        <w:rPr>
          <w:rFonts w:ascii="Times New Roman" w:hAnsi="Times New Roman" w:cs="Times New Roman"/>
          <w:sz w:val="28"/>
          <w:szCs w:val="28"/>
          <w:shd w:val="clear" w:color="auto" w:fill="FFFFFF"/>
        </w:rPr>
        <w:t>Qua đó giúp vụ án được giải quyết nhanh chóng, dứt điểm, góp phần củng cố mối đoàn kết trong nội bộ nhân dân.</w:t>
      </w:r>
    </w:p>
    <w:p w14:paraId="09452CF4" w14:textId="77777777" w:rsidR="003C6578" w:rsidRPr="003C6578" w:rsidRDefault="00177B62" w:rsidP="008E67AC">
      <w:pPr>
        <w:tabs>
          <w:tab w:val="left" w:pos="0"/>
        </w:tabs>
        <w:spacing w:before="120" w:after="0" w:line="240" w:lineRule="auto"/>
        <w:ind w:firstLine="720"/>
        <w:jc w:val="both"/>
        <w:rPr>
          <w:rFonts w:ascii="Times New Roman" w:hAnsi="Times New Roman"/>
          <w:sz w:val="28"/>
        </w:rPr>
      </w:pPr>
      <w:r>
        <w:rPr>
          <w:rFonts w:ascii="Times New Roman" w:hAnsi="Times New Roman"/>
          <w:b/>
          <w:sz w:val="28"/>
        </w:rPr>
        <w:t>8</w:t>
      </w:r>
      <w:r w:rsidR="003C6578" w:rsidRPr="003C6578">
        <w:rPr>
          <w:rFonts w:ascii="Times New Roman" w:hAnsi="Times New Roman"/>
          <w:b/>
          <w:sz w:val="28"/>
        </w:rPr>
        <w:t>.</w:t>
      </w:r>
      <w:r w:rsidR="003C6578">
        <w:rPr>
          <w:rFonts w:ascii="Times New Roman" w:hAnsi="Times New Roman"/>
          <w:sz w:val="28"/>
        </w:rPr>
        <w:t xml:space="preserve"> Về cải cách tư pháp: TAND hai cấp quan tâm nâng cao chất lượng hoạt động của Tổ hành chính tư pháp, đảm bảo thuận lợi cho người dân khi đến giải quyết công việc tại Tòa án.</w:t>
      </w:r>
    </w:p>
    <w:p w14:paraId="3DDA3CD2" w14:textId="77777777" w:rsidR="00AF7DF2" w:rsidRPr="003C6578" w:rsidRDefault="00AF7DF2" w:rsidP="008E67AC">
      <w:pPr>
        <w:spacing w:before="120" w:after="0" w:line="240" w:lineRule="auto"/>
        <w:ind w:firstLine="720"/>
        <w:jc w:val="both"/>
        <w:rPr>
          <w:rFonts w:ascii="Times New Roman" w:hAnsi="Times New Roman" w:cs="Times New Roman"/>
          <w:b/>
          <w:sz w:val="28"/>
          <w:szCs w:val="28"/>
        </w:rPr>
      </w:pPr>
      <w:r w:rsidRPr="003C6578">
        <w:rPr>
          <w:rFonts w:ascii="Times New Roman" w:hAnsi="Times New Roman" w:cs="Times New Roman"/>
          <w:b/>
          <w:sz w:val="28"/>
          <w:szCs w:val="28"/>
        </w:rPr>
        <w:t>II. ĐÁNH GIÁ KẾT QUẢ THỰC HIỆN NHIỆM VỤ</w:t>
      </w:r>
    </w:p>
    <w:p w14:paraId="785C1642" w14:textId="77777777" w:rsidR="00E960C2" w:rsidRDefault="00AF7DF2" w:rsidP="008E67AC">
      <w:pPr>
        <w:pStyle w:val="NormalWeb"/>
        <w:shd w:val="clear" w:color="auto" w:fill="FFFFFF"/>
        <w:spacing w:before="120" w:beforeAutospacing="0" w:after="0" w:afterAutospacing="0"/>
        <w:ind w:firstLine="720"/>
        <w:jc w:val="both"/>
        <w:textAlignment w:val="baseline"/>
        <w:rPr>
          <w:sz w:val="28"/>
          <w:szCs w:val="28"/>
        </w:rPr>
      </w:pPr>
      <w:r w:rsidRPr="004D5AB5">
        <w:rPr>
          <w:b/>
          <w:sz w:val="28"/>
          <w:szCs w:val="28"/>
        </w:rPr>
        <w:t>1. Ưu điểm</w:t>
      </w:r>
      <w:r>
        <w:rPr>
          <w:sz w:val="28"/>
          <w:szCs w:val="28"/>
        </w:rPr>
        <w:t xml:space="preserve">: </w:t>
      </w:r>
    </w:p>
    <w:p w14:paraId="7FCED73C" w14:textId="77777777" w:rsidR="00B10C46" w:rsidRPr="00B10C46" w:rsidRDefault="00B10C46" w:rsidP="008E67AC">
      <w:pPr>
        <w:spacing w:before="120" w:after="0" w:line="240" w:lineRule="auto"/>
        <w:ind w:firstLine="720"/>
        <w:jc w:val="both"/>
        <w:rPr>
          <w:rFonts w:ascii="Times New Roman" w:hAnsi="Times New Roman"/>
          <w:sz w:val="28"/>
          <w:szCs w:val="28"/>
        </w:rPr>
      </w:pPr>
      <w:r>
        <w:rPr>
          <w:rFonts w:ascii="Roboto-Regular" w:hAnsi="Roboto-Regular"/>
          <w:sz w:val="28"/>
          <w:szCs w:val="28"/>
          <w:shd w:val="clear" w:color="auto" w:fill="FFFFFF"/>
        </w:rPr>
        <w:t>Năm 2021, với việc chỉ đạo quyết liệt, kịp thời của Ban cán sự Đảng, lãnh đạo Tòa án tỉnh và sự nỗ lực cố gắng hết mình của toàn thể công chức, người lao động, nên công tác của Tòa án nhân dân hai cấp đạt chất lượng cao với nhiều chuyển biến tích cực trên tất cả các lĩnh vực. Công tác giải quyết, xét xử các loại vụ án đã được Tòa án hai cấp đẩy mạnh, số án giải quyết đạt tỷ lệ chung 83%;</w:t>
      </w:r>
      <w:r w:rsidRPr="00596A55">
        <w:rPr>
          <w:rFonts w:ascii="Roboto-Regular" w:hAnsi="Roboto-Regular"/>
          <w:sz w:val="28"/>
          <w:szCs w:val="28"/>
          <w:shd w:val="clear" w:color="auto" w:fill="FFFFFF"/>
        </w:rPr>
        <w:t xml:space="preserve"> </w:t>
      </w:r>
      <w:r>
        <w:rPr>
          <w:rFonts w:ascii="Roboto-Regular" w:hAnsi="Roboto-Regular"/>
          <w:sz w:val="28"/>
          <w:szCs w:val="28"/>
          <w:shd w:val="clear" w:color="auto" w:fill="FFFFFF"/>
        </w:rPr>
        <w:t>chất lượng xét xử chuyển biến tích cực, số vụ án bị hủy, bị sửa do lỗi chủ quan của Thẩm phán (chiếm 0,14%) không vượt quá quy định của TAND tối cao (không vượt quá 1,5%). Đặc biệt trong năm 2021, Tòa án nhân dân tỉnh và một số TAND cấp huyện không có án bị hủy, bị sửa do lỗi chủ quan của Thẩm phán (</w:t>
      </w:r>
      <w:r>
        <w:rPr>
          <w:rFonts w:ascii="Times New Roman" w:hAnsi="Times New Roman"/>
          <w:sz w:val="28"/>
          <w:szCs w:val="28"/>
        </w:rPr>
        <w:t>TAND các huyện TuMơRông, Sa Thầy, Konplong, Ia H’Drai, Đắk Hà)</w:t>
      </w:r>
      <w:r>
        <w:rPr>
          <w:rFonts w:ascii="Roboto-Regular" w:hAnsi="Roboto-Regular"/>
          <w:sz w:val="28"/>
          <w:szCs w:val="28"/>
          <w:shd w:val="clear" w:color="auto" w:fill="FFFFFF"/>
        </w:rPr>
        <w:t xml:space="preserve">; hòa giải </w:t>
      </w:r>
      <w:r>
        <w:rPr>
          <w:rFonts w:ascii="Roboto-Regular" w:hAnsi="Roboto-Regular"/>
          <w:sz w:val="28"/>
          <w:szCs w:val="28"/>
          <w:shd w:val="clear" w:color="auto" w:fill="FFFFFF"/>
        </w:rPr>
        <w:lastRenderedPageBreak/>
        <w:t>thành đạt 67%; không kết án oan người không có tội, không bỏ lọt tội phạm;100% bản án, quyết định có hiệu lực được thi hành đúng quy định; đội ngũ công chức Tòa án hai cấp tiếp tục được kiện toàn; công tác đào tạo, bồi dưỡng nghiệp vụ được đẩy mạnh. Kỷ cương, kỷ luật công vụ được tăng cường; công tác thanh tra, kiểm tra việc thực thi công vụ công chức, người lao động được tiến hành kịp thời và nghiêm túc. Công tác cải cách thủ tục hành chính - tư pháp và tăng cường ứng dụng công nghệ thông tin được quan tâm thực hiện. Công tác phòng, chống dịch Covid-19 được Tòa án hai cấp triển khai thực hiện nghiêm túc theo đúng chỉ đạo của Tỉnh ủy và Tòa án nhân dân tối cao. Việc triển khai thực hiện Chỉ thị, Nghị quyết của Đảng được triển khai nghiêm túc. Các nhiệm vụ trọng tâm khác đều được triển khai thực hiện hiệu quả, đảm bảo công khai, minh bạch mọi hoạt động của Tòa án theo đúng tinh thần cải cách tư pháp.</w:t>
      </w:r>
    </w:p>
    <w:p w14:paraId="3D242357" w14:textId="77777777" w:rsidR="00AF7DF2" w:rsidRPr="004D5AB5" w:rsidRDefault="00AF7DF2" w:rsidP="008E67AC">
      <w:pPr>
        <w:spacing w:before="120" w:after="0" w:line="240" w:lineRule="auto"/>
        <w:ind w:firstLine="720"/>
        <w:jc w:val="both"/>
        <w:rPr>
          <w:rFonts w:ascii="Times New Roman" w:hAnsi="Times New Roman"/>
          <w:b/>
          <w:sz w:val="28"/>
          <w:szCs w:val="28"/>
        </w:rPr>
      </w:pPr>
      <w:r w:rsidRPr="004D5AB5">
        <w:rPr>
          <w:rFonts w:ascii="Times New Roman" w:hAnsi="Times New Roman"/>
          <w:b/>
          <w:sz w:val="28"/>
          <w:szCs w:val="28"/>
        </w:rPr>
        <w:t xml:space="preserve">2. </w:t>
      </w:r>
      <w:r w:rsidRPr="004D5AB5">
        <w:rPr>
          <w:rFonts w:ascii="Times New Roman" w:hAnsi="Times New Roman"/>
          <w:b/>
          <w:bCs/>
          <w:sz w:val="28"/>
          <w:szCs w:val="28"/>
        </w:rPr>
        <w:t>Một số thiếu sót, hạn chế</w:t>
      </w:r>
      <w:r>
        <w:rPr>
          <w:rFonts w:ascii="Times New Roman" w:hAnsi="Times New Roman"/>
          <w:b/>
          <w:bCs/>
          <w:sz w:val="28"/>
          <w:szCs w:val="28"/>
        </w:rPr>
        <w:t xml:space="preserve"> </w:t>
      </w:r>
    </w:p>
    <w:p w14:paraId="2E6C94E7" w14:textId="77777777" w:rsidR="00AF7DF2" w:rsidRDefault="00AF7DF2" w:rsidP="008E67AC">
      <w:pPr>
        <w:spacing w:before="120" w:after="0" w:line="240" w:lineRule="auto"/>
        <w:ind w:firstLine="720"/>
        <w:jc w:val="both"/>
        <w:rPr>
          <w:rFonts w:ascii="Times New Roman" w:hAnsi="Times New Roman"/>
          <w:sz w:val="28"/>
          <w:szCs w:val="28"/>
        </w:rPr>
      </w:pPr>
      <w:r>
        <w:rPr>
          <w:rFonts w:ascii="Times New Roman" w:hAnsi="Times New Roman"/>
          <w:sz w:val="28"/>
          <w:szCs w:val="28"/>
        </w:rPr>
        <w:t>- Còn một số vụ án phải tạm đình chỉ.</w:t>
      </w:r>
    </w:p>
    <w:p w14:paraId="169922A9" w14:textId="77777777" w:rsidR="00AF7DF2" w:rsidRDefault="00AF7DF2" w:rsidP="008E67AC">
      <w:pPr>
        <w:spacing w:before="120" w:after="0" w:line="240" w:lineRule="auto"/>
        <w:ind w:firstLine="720"/>
        <w:jc w:val="both"/>
        <w:rPr>
          <w:rFonts w:ascii="Times New Roman" w:hAnsi="Times New Roman"/>
          <w:sz w:val="28"/>
          <w:szCs w:val="28"/>
        </w:rPr>
      </w:pPr>
      <w:r>
        <w:rPr>
          <w:rFonts w:ascii="Times New Roman" w:hAnsi="Times New Roman"/>
          <w:sz w:val="28"/>
          <w:szCs w:val="28"/>
        </w:rPr>
        <w:t>- Tỷ lệ án hủy, sửa do lỗi chủ quan vẫn còn (0,14%), mặc dù thấp hơn nhiều so với những năm trước đây và thấp so với quy định của Quốc hội là 1,5%, tuy nhiên Tòa án vẫn chỉ ra để có hướng phấn đấu.</w:t>
      </w:r>
    </w:p>
    <w:p w14:paraId="0BD35E7A" w14:textId="77777777" w:rsidR="007D742E" w:rsidRPr="00864C7A" w:rsidRDefault="007D742E" w:rsidP="008E67AC">
      <w:pPr>
        <w:spacing w:before="120" w:after="0" w:line="240" w:lineRule="auto"/>
        <w:ind w:firstLine="720"/>
        <w:jc w:val="both"/>
        <w:rPr>
          <w:rFonts w:ascii="Times New Roman" w:hAnsi="Times New Roman"/>
          <w:sz w:val="28"/>
          <w:szCs w:val="28"/>
        </w:rPr>
      </w:pPr>
      <w:r>
        <w:rPr>
          <w:rFonts w:ascii="Times New Roman" w:hAnsi="Times New Roman"/>
          <w:b/>
          <w:bCs/>
          <w:sz w:val="28"/>
          <w:szCs w:val="28"/>
        </w:rPr>
        <w:t>3. Nguyên nhân của thiếu sót, hạn chế</w:t>
      </w:r>
    </w:p>
    <w:p w14:paraId="46DC20D2" w14:textId="77777777" w:rsidR="007D742E" w:rsidRDefault="009E1513" w:rsidP="008E67AC">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AF7DF2">
        <w:rPr>
          <w:rFonts w:ascii="Times New Roman" w:hAnsi="Times New Roman"/>
          <w:sz w:val="28"/>
          <w:szCs w:val="28"/>
        </w:rPr>
        <w:t xml:space="preserve">Do ảnh hưởng dịch Covid-19, một số vụ án phải hoãn, tạm đình chỉ, án có yếu tố nước ngoài phải chờ kết quả trả lời của cơ quan chuyên môn. </w:t>
      </w:r>
    </w:p>
    <w:p w14:paraId="05E40277" w14:textId="77777777" w:rsidR="007D742E" w:rsidRDefault="009E1513" w:rsidP="008E67AC">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Đối với những </w:t>
      </w:r>
      <w:r w:rsidR="007D742E">
        <w:rPr>
          <w:rFonts w:ascii="Times New Roman" w:hAnsi="Times New Roman"/>
          <w:sz w:val="28"/>
          <w:szCs w:val="28"/>
        </w:rPr>
        <w:t xml:space="preserve">vụ án </w:t>
      </w:r>
      <w:r>
        <w:rPr>
          <w:rFonts w:ascii="Times New Roman" w:hAnsi="Times New Roman"/>
          <w:sz w:val="28"/>
          <w:szCs w:val="28"/>
        </w:rPr>
        <w:t xml:space="preserve">dân sự </w:t>
      </w:r>
      <w:r w:rsidR="007D742E">
        <w:rPr>
          <w:rFonts w:ascii="Times New Roman" w:hAnsi="Times New Roman"/>
          <w:sz w:val="28"/>
          <w:szCs w:val="28"/>
        </w:rPr>
        <w:t xml:space="preserve">bị hủy, đa số là án tranh chấp đất đai đã qua nhiều chủ sử dụng, chứng cứ là giấy tờ viết tay, mốc ranh giới không được xác định, các cạnh của lô đất thể hiện trong </w:t>
      </w:r>
      <w:r w:rsidR="007D742E" w:rsidRPr="004B0BD3">
        <w:rPr>
          <w:rFonts w:ascii="Times New Roman" w:hAnsi="Times New Roman"/>
          <w:sz w:val="28"/>
          <w:szCs w:val="28"/>
        </w:rPr>
        <w:t>GCNQS</w:t>
      </w:r>
      <w:r w:rsidR="007D742E">
        <w:rPr>
          <w:rFonts w:ascii="Times New Roman" w:hAnsi="Times New Roman"/>
          <w:sz w:val="28"/>
          <w:szCs w:val="28"/>
        </w:rPr>
        <w:t>D</w:t>
      </w:r>
      <w:r w:rsidR="007D742E" w:rsidRPr="004B0BD3">
        <w:rPr>
          <w:rFonts w:ascii="Times New Roman" w:hAnsi="Times New Roman"/>
          <w:sz w:val="28"/>
          <w:szCs w:val="28"/>
        </w:rPr>
        <w:t>Đ không phù hợp</w:t>
      </w:r>
      <w:r w:rsidR="007D742E">
        <w:rPr>
          <w:rFonts w:ascii="Times New Roman" w:hAnsi="Times New Roman"/>
          <w:sz w:val="28"/>
          <w:szCs w:val="28"/>
        </w:rPr>
        <w:t xml:space="preserve"> thực địa,</w:t>
      </w:r>
      <w:r w:rsidR="007D742E" w:rsidRPr="004B0BD3">
        <w:rPr>
          <w:rFonts w:ascii="Times New Roman" w:hAnsi="Times New Roman"/>
          <w:color w:val="FF0000"/>
          <w:sz w:val="28"/>
          <w:szCs w:val="28"/>
        </w:rPr>
        <w:t xml:space="preserve"> </w:t>
      </w:r>
      <w:r w:rsidR="007D742E">
        <w:rPr>
          <w:rFonts w:ascii="Times New Roman" w:hAnsi="Times New Roman"/>
          <w:sz w:val="28"/>
          <w:szCs w:val="28"/>
        </w:rPr>
        <w:t>đương sự không hợp tác ở mỗi giai đoạn tố tụng xuất trình tài liệu hoặc có lời khai khác nhau, nên rất khó khăn trong đánh giá chứng cứ và đưa người vào tham gia tố tụng.</w:t>
      </w:r>
    </w:p>
    <w:p w14:paraId="173F5178" w14:textId="77777777" w:rsidR="007D742E" w:rsidRDefault="009E1513" w:rsidP="008E67AC">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5D4847">
        <w:rPr>
          <w:rFonts w:ascii="Times New Roman" w:hAnsi="Times New Roman"/>
          <w:sz w:val="28"/>
          <w:szCs w:val="28"/>
        </w:rPr>
        <w:t>Đối</w:t>
      </w:r>
      <w:r>
        <w:rPr>
          <w:rFonts w:ascii="Times New Roman" w:hAnsi="Times New Roman"/>
          <w:sz w:val="28"/>
          <w:szCs w:val="28"/>
        </w:rPr>
        <w:t xml:space="preserve"> với án hình sự: Một số vướng mắc trong thực tế áp dụng pháp luật còn có nhận thức và cách hiểu khác nhau chưa có hướng dẫn.</w:t>
      </w:r>
    </w:p>
    <w:p w14:paraId="732531F2" w14:textId="77777777" w:rsidR="00AF7DF2" w:rsidRPr="00425D10" w:rsidRDefault="00AF7DF2" w:rsidP="008E67AC">
      <w:pPr>
        <w:spacing w:before="120" w:after="0" w:line="240" w:lineRule="auto"/>
        <w:ind w:firstLine="720"/>
        <w:jc w:val="both"/>
        <w:rPr>
          <w:rFonts w:ascii="Times New Roman" w:hAnsi="Times New Roman"/>
          <w:b/>
          <w:sz w:val="28"/>
          <w:szCs w:val="28"/>
        </w:rPr>
      </w:pPr>
      <w:r>
        <w:rPr>
          <w:rFonts w:ascii="Times New Roman" w:hAnsi="Times New Roman"/>
          <w:b/>
          <w:sz w:val="28"/>
          <w:szCs w:val="28"/>
        </w:rPr>
        <w:t>III</w:t>
      </w:r>
      <w:r w:rsidRPr="00425D10">
        <w:rPr>
          <w:rFonts w:ascii="Times New Roman" w:hAnsi="Times New Roman"/>
          <w:b/>
          <w:sz w:val="28"/>
          <w:szCs w:val="28"/>
        </w:rPr>
        <w:t xml:space="preserve">. </w:t>
      </w:r>
      <w:r>
        <w:rPr>
          <w:rFonts w:ascii="Times New Roman" w:hAnsi="Times New Roman"/>
          <w:b/>
          <w:sz w:val="28"/>
          <w:szCs w:val="28"/>
        </w:rPr>
        <w:t>GIẢI PHÁP KHẮC PHỤC</w:t>
      </w:r>
    </w:p>
    <w:p w14:paraId="74FA0A72" w14:textId="77777777" w:rsidR="00C1207F" w:rsidRDefault="00C1207F" w:rsidP="008E67AC">
      <w:pPr>
        <w:spacing w:before="120" w:after="0" w:line="240" w:lineRule="auto"/>
        <w:ind w:firstLine="720"/>
        <w:jc w:val="both"/>
        <w:rPr>
          <w:rFonts w:ascii="Times New Roman" w:hAnsi="Times New Roman"/>
          <w:noProof/>
          <w:sz w:val="28"/>
          <w:szCs w:val="28"/>
        </w:rPr>
      </w:pPr>
      <w:r>
        <w:rPr>
          <w:rFonts w:ascii="Times New Roman" w:hAnsi="Times New Roman"/>
          <w:sz w:val="28"/>
          <w:szCs w:val="28"/>
        </w:rPr>
        <w:t>1. Thường xuyên</w:t>
      </w:r>
      <w:r w:rsidRPr="00E00BDB">
        <w:rPr>
          <w:rFonts w:ascii="Times New Roman" w:hAnsi="Times New Roman"/>
          <w:noProof/>
          <w:sz w:val="28"/>
          <w:szCs w:val="28"/>
        </w:rPr>
        <w:t xml:space="preserve"> giáo dục chính trị tư tưởng</w:t>
      </w:r>
      <w:r>
        <w:rPr>
          <w:rFonts w:ascii="Times New Roman" w:hAnsi="Times New Roman"/>
          <w:noProof/>
          <w:sz w:val="28"/>
          <w:szCs w:val="28"/>
        </w:rPr>
        <w:t>, nâng cao ý thức trách nhiệm, quản lý giám sát chặt chẽ hoạt động công vụ của Thẩm phán, công chức, người lao động;</w:t>
      </w:r>
      <w:r w:rsidRPr="00E00BDB">
        <w:rPr>
          <w:rFonts w:ascii="Times New Roman" w:hAnsi="Times New Roman"/>
          <w:noProof/>
          <w:sz w:val="28"/>
          <w:szCs w:val="28"/>
        </w:rPr>
        <w:t xml:space="preserve"> quán triệt, triển khai thực hiện nghiêm túc bản đăng ký cam kết không tham nhũng, lãng phí, không để xảy ra </w:t>
      </w:r>
      <w:r w:rsidRPr="00E00BDB">
        <w:rPr>
          <w:rFonts w:ascii="Times New Roman" w:hAnsi="Times New Roman"/>
          <w:sz w:val="28"/>
          <w:szCs w:val="28"/>
        </w:rPr>
        <w:t>những biểu hiện "tự diễn biến", "tự chuyển hóa" trong nội bộ theo tinh thần Nghị quyết số 04-NQ/TW của Ban chấp hành Trung ương Đảng khóa XII</w:t>
      </w:r>
      <w:r w:rsidRPr="00E00BDB">
        <w:rPr>
          <w:rFonts w:ascii="Times New Roman" w:hAnsi="Times New Roman"/>
          <w:noProof/>
          <w:sz w:val="28"/>
          <w:szCs w:val="28"/>
        </w:rPr>
        <w:t>. Đẩy mạnh việc học tập và làm theo tư tưởng, đạo đức, phong cách Hồ</w:t>
      </w:r>
      <w:r>
        <w:rPr>
          <w:rFonts w:ascii="Times New Roman" w:hAnsi="Times New Roman"/>
          <w:noProof/>
          <w:sz w:val="28"/>
          <w:szCs w:val="28"/>
        </w:rPr>
        <w:t xml:space="preserve"> Chí Minh theo</w:t>
      </w:r>
      <w:r w:rsidRPr="003214E7">
        <w:rPr>
          <w:rFonts w:ascii="Times New Roman" w:hAnsi="Times New Roman"/>
          <w:bCs/>
          <w:sz w:val="28"/>
          <w:szCs w:val="28"/>
        </w:rPr>
        <w:t xml:space="preserve"> </w:t>
      </w:r>
      <w:r w:rsidRPr="00E00BDB">
        <w:rPr>
          <w:rFonts w:ascii="Times New Roman" w:hAnsi="Times New Roman"/>
          <w:bCs/>
          <w:sz w:val="28"/>
          <w:szCs w:val="28"/>
        </w:rPr>
        <w:t>Chỉ thị 05-CT/TW</w:t>
      </w:r>
      <w:r w:rsidRPr="00E00BDB">
        <w:rPr>
          <w:rFonts w:ascii="Times New Roman" w:hAnsi="Times New Roman"/>
          <w:noProof/>
          <w:sz w:val="28"/>
          <w:szCs w:val="28"/>
        </w:rPr>
        <w:t xml:space="preserve"> của Bộ Chính trị</w:t>
      </w:r>
    </w:p>
    <w:p w14:paraId="376FA93B" w14:textId="77777777" w:rsidR="00C1207F" w:rsidRDefault="00C1207F" w:rsidP="008E67AC">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096434">
        <w:rPr>
          <w:rFonts w:ascii="Times New Roman" w:hAnsi="Times New Roman"/>
          <w:sz w:val="28"/>
          <w:szCs w:val="28"/>
        </w:rPr>
        <w:t xml:space="preserve">Tăng cường công tác lãnh đạo, chỉ đạo, </w:t>
      </w:r>
      <w:r>
        <w:rPr>
          <w:rFonts w:ascii="Times New Roman" w:hAnsi="Times New Roman"/>
          <w:sz w:val="28"/>
          <w:szCs w:val="28"/>
        </w:rPr>
        <w:t xml:space="preserve">kiểm tra, </w:t>
      </w:r>
      <w:r w:rsidRPr="00096434">
        <w:rPr>
          <w:rFonts w:ascii="Times New Roman" w:hAnsi="Times New Roman"/>
          <w:sz w:val="28"/>
          <w:szCs w:val="28"/>
        </w:rPr>
        <w:t>giám sát</w:t>
      </w:r>
      <w:r>
        <w:rPr>
          <w:rFonts w:ascii="Times New Roman" w:hAnsi="Times New Roman"/>
          <w:sz w:val="28"/>
          <w:szCs w:val="28"/>
        </w:rPr>
        <w:t xml:space="preserve"> việc thực hiện</w:t>
      </w:r>
      <w:r w:rsidRPr="00096434">
        <w:rPr>
          <w:rFonts w:ascii="Times New Roman" w:hAnsi="Times New Roman"/>
          <w:sz w:val="28"/>
          <w:szCs w:val="28"/>
        </w:rPr>
        <w:t xml:space="preserve"> kỷ luật kỷ cương công vụ. Đối với sai phạm, thiếu sót cần được kiểm điểm nghiêm túc có biện pháp xử lý đúng tính chất và mức độ sai phạm. </w:t>
      </w:r>
    </w:p>
    <w:p w14:paraId="51BC12FA" w14:textId="77777777" w:rsidR="00C1207F" w:rsidRPr="00096434" w:rsidRDefault="00C1207F" w:rsidP="008E67AC">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096434">
        <w:rPr>
          <w:rFonts w:ascii="Times New Roman" w:hAnsi="Times New Roman"/>
          <w:sz w:val="28"/>
          <w:szCs w:val="28"/>
        </w:rPr>
        <w:t xml:space="preserve">Thường xuyên tổ chức giao ban, sinh hoạt chuyên môn nghiệp vụ theo quý, 6 tháng, năm để các Thẩm phán, Thư ký có điều kiện trao đổi, tháo gỡ những </w:t>
      </w:r>
      <w:r w:rsidRPr="00096434">
        <w:rPr>
          <w:rFonts w:ascii="Times New Roman" w:hAnsi="Times New Roman"/>
          <w:sz w:val="28"/>
          <w:szCs w:val="28"/>
        </w:rPr>
        <w:lastRenderedPageBreak/>
        <w:t xml:space="preserve">vướng mắc trong công tác xét xử. Các Thẩm phán, Thư ký cần tự học hỏi để nâng cao trình độ chuyên môn. </w:t>
      </w:r>
    </w:p>
    <w:p w14:paraId="3730D2CB" w14:textId="77777777" w:rsidR="00C1207F" w:rsidRDefault="00C1207F" w:rsidP="008E67AC">
      <w:pPr>
        <w:pStyle w:val="NormalWeb"/>
        <w:shd w:val="clear" w:color="auto" w:fill="FFFFFF"/>
        <w:spacing w:before="120" w:beforeAutospacing="0" w:after="0" w:afterAutospacing="0"/>
        <w:ind w:firstLine="720"/>
        <w:jc w:val="both"/>
        <w:rPr>
          <w:sz w:val="28"/>
          <w:szCs w:val="28"/>
        </w:rPr>
      </w:pPr>
      <w:r>
        <w:rPr>
          <w:sz w:val="28"/>
          <w:szCs w:val="28"/>
        </w:rPr>
        <w:t xml:space="preserve">4. </w:t>
      </w:r>
      <w:r w:rsidRPr="00096434">
        <w:rPr>
          <w:sz w:val="28"/>
          <w:szCs w:val="28"/>
        </w:rPr>
        <w:t xml:space="preserve">Tiếp tục tiến hành tổ chức các phiên tòa rút kinh nghiệm theo chỉ tiêu đã được TAND tỉnh giao và đăng tải bản án, quyết định có hiệu lực pháp luật lên </w:t>
      </w:r>
      <w:r>
        <w:rPr>
          <w:sz w:val="28"/>
          <w:szCs w:val="28"/>
        </w:rPr>
        <w:t>trang thông tin điện tử</w:t>
      </w:r>
      <w:r w:rsidRPr="00096434">
        <w:rPr>
          <w:sz w:val="28"/>
          <w:szCs w:val="28"/>
        </w:rPr>
        <w:t xml:space="preserve"> Tòa án theo đúng quy định.</w:t>
      </w:r>
    </w:p>
    <w:p w14:paraId="671384A5" w14:textId="77777777" w:rsidR="00AF7DF2" w:rsidRPr="00BC3EDC" w:rsidRDefault="00AF7DF2" w:rsidP="008E67AC">
      <w:pPr>
        <w:pStyle w:val="NormalWeb"/>
        <w:shd w:val="clear" w:color="auto" w:fill="FFFFFF"/>
        <w:spacing w:before="120" w:beforeAutospacing="0" w:after="0" w:afterAutospacing="0"/>
        <w:ind w:firstLine="720"/>
        <w:jc w:val="both"/>
        <w:textAlignment w:val="baseline"/>
        <w:rPr>
          <w:b/>
          <w:sz w:val="28"/>
          <w:szCs w:val="28"/>
        </w:rPr>
      </w:pPr>
      <w:r w:rsidRPr="00BC3EDC">
        <w:rPr>
          <w:b/>
          <w:sz w:val="28"/>
          <w:szCs w:val="28"/>
        </w:rPr>
        <w:t>IV. NHIỆM VỤ TRỌNG TÂM THỜI GIAN TỚI</w:t>
      </w:r>
    </w:p>
    <w:p w14:paraId="72D4920B" w14:textId="77777777" w:rsidR="00AF7DF2" w:rsidRPr="00F43CDB" w:rsidRDefault="00AF7DF2" w:rsidP="008E67AC">
      <w:pPr>
        <w:pStyle w:val="NormalWeb"/>
        <w:shd w:val="clear" w:color="auto" w:fill="FFFFFF"/>
        <w:spacing w:before="120" w:beforeAutospacing="0" w:after="0" w:afterAutospacing="0"/>
        <w:ind w:firstLine="720"/>
        <w:jc w:val="both"/>
        <w:textAlignment w:val="baseline"/>
        <w:rPr>
          <w:sz w:val="28"/>
          <w:szCs w:val="28"/>
        </w:rPr>
      </w:pPr>
      <w:r w:rsidRPr="00F43CDB">
        <w:rPr>
          <w:sz w:val="28"/>
          <w:szCs w:val="28"/>
        </w:rPr>
        <w:t xml:space="preserve">Báo cáo số </w:t>
      </w:r>
      <w:r>
        <w:rPr>
          <w:sz w:val="28"/>
          <w:szCs w:val="28"/>
        </w:rPr>
        <w:t>121</w:t>
      </w:r>
      <w:r w:rsidRPr="00F43CDB">
        <w:rPr>
          <w:sz w:val="28"/>
          <w:szCs w:val="28"/>
        </w:rPr>
        <w:t>/BC-TA ngày 2</w:t>
      </w:r>
      <w:r>
        <w:rPr>
          <w:sz w:val="28"/>
          <w:szCs w:val="28"/>
        </w:rPr>
        <w:t>9</w:t>
      </w:r>
      <w:r w:rsidRPr="00F43CDB">
        <w:rPr>
          <w:sz w:val="28"/>
          <w:szCs w:val="28"/>
        </w:rPr>
        <w:t>/10/202</w:t>
      </w:r>
      <w:r>
        <w:rPr>
          <w:sz w:val="28"/>
          <w:szCs w:val="28"/>
        </w:rPr>
        <w:t>1</w:t>
      </w:r>
      <w:r w:rsidRPr="00F43CDB">
        <w:rPr>
          <w:sz w:val="28"/>
          <w:szCs w:val="28"/>
        </w:rPr>
        <w:t xml:space="preserve"> đã đề ra các nhiệm vụ trọng tâm công tác Tòa án, trong đó các nhiệm vụ lớn được xác định là:</w:t>
      </w:r>
    </w:p>
    <w:p w14:paraId="5FF3A39C" w14:textId="77777777" w:rsidR="00B87C80" w:rsidRDefault="00AF7DF2" w:rsidP="008E67AC">
      <w:pPr>
        <w:spacing w:before="120"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1. </w:t>
      </w:r>
      <w:r w:rsidR="00B87C80">
        <w:rPr>
          <w:rFonts w:ascii="Times New Roman" w:hAnsi="Times New Roman"/>
          <w:sz w:val="28"/>
          <w:szCs w:val="28"/>
          <w:lang w:val="it-IT"/>
        </w:rPr>
        <w:t>T</w:t>
      </w:r>
      <w:r w:rsidR="00B87C80" w:rsidRPr="00CD7F23">
        <w:rPr>
          <w:rFonts w:ascii="Times New Roman" w:hAnsi="Times New Roman"/>
          <w:sz w:val="28"/>
          <w:szCs w:val="28"/>
          <w:lang w:val="it-IT"/>
        </w:rPr>
        <w:t xml:space="preserve">ăng cường công tác giáo dục chính trị tư tưởng </w:t>
      </w:r>
      <w:r w:rsidR="00B87C80">
        <w:rPr>
          <w:rFonts w:ascii="Times New Roman" w:hAnsi="Times New Roman"/>
          <w:sz w:val="28"/>
          <w:szCs w:val="28"/>
          <w:lang w:val="it-IT"/>
        </w:rPr>
        <w:t>trong</w:t>
      </w:r>
      <w:r w:rsidR="00B87C80" w:rsidRPr="00CD7F23">
        <w:rPr>
          <w:rFonts w:ascii="Times New Roman" w:hAnsi="Times New Roman"/>
          <w:sz w:val="28"/>
          <w:szCs w:val="28"/>
          <w:lang w:val="it-IT"/>
        </w:rPr>
        <w:t xml:space="preserve"> </w:t>
      </w:r>
      <w:r w:rsidR="00B87C80">
        <w:rPr>
          <w:rFonts w:ascii="Times New Roman" w:hAnsi="Times New Roman"/>
          <w:sz w:val="28"/>
          <w:szCs w:val="28"/>
          <w:lang w:val="it-IT"/>
        </w:rPr>
        <w:t xml:space="preserve">đội ngũ </w:t>
      </w:r>
      <w:r w:rsidR="00B87C80" w:rsidRPr="00CD7F23">
        <w:rPr>
          <w:rFonts w:ascii="Times New Roman" w:hAnsi="Times New Roman"/>
          <w:sz w:val="28"/>
          <w:szCs w:val="28"/>
          <w:lang w:val="it-IT"/>
        </w:rPr>
        <w:t>công chức, người lao độ</w:t>
      </w:r>
      <w:r w:rsidR="00B87C80">
        <w:rPr>
          <w:rFonts w:ascii="Times New Roman" w:hAnsi="Times New Roman"/>
          <w:sz w:val="28"/>
          <w:szCs w:val="28"/>
          <w:lang w:val="it-IT"/>
        </w:rPr>
        <w:t>ng của Tòa án nhân dân hai cấp;</w:t>
      </w:r>
      <w:r w:rsidR="00B87C80" w:rsidRPr="00CD7F23">
        <w:rPr>
          <w:rFonts w:ascii="Times New Roman" w:hAnsi="Times New Roman"/>
          <w:sz w:val="28"/>
          <w:szCs w:val="28"/>
          <w:lang w:val="it-IT"/>
        </w:rPr>
        <w:t xml:space="preserve"> T</w:t>
      </w:r>
      <w:r w:rsidR="00B87C80">
        <w:rPr>
          <w:rFonts w:ascii="Times New Roman" w:hAnsi="Times New Roman"/>
          <w:sz w:val="28"/>
          <w:szCs w:val="28"/>
          <w:lang w:val="it-IT"/>
        </w:rPr>
        <w:t xml:space="preserve">hực hiện nghiêm </w:t>
      </w:r>
      <w:r w:rsidR="00B87C80" w:rsidRPr="00CD7F23">
        <w:rPr>
          <w:rFonts w:ascii="Times New Roman" w:hAnsi="Times New Roman"/>
          <w:sz w:val="28"/>
          <w:szCs w:val="28"/>
          <w:lang w:val="it-IT"/>
        </w:rPr>
        <w:t xml:space="preserve"> Nghị quyết Trung ương 4 (khóa XI, XII)</w:t>
      </w:r>
      <w:r w:rsidR="00B87C80">
        <w:rPr>
          <w:rFonts w:ascii="Times New Roman" w:hAnsi="Times New Roman"/>
          <w:sz w:val="28"/>
          <w:szCs w:val="28"/>
          <w:lang w:val="it-IT"/>
        </w:rPr>
        <w:t xml:space="preserve"> về  tăng cường xây dựng chỉnh đốn Đảng, ngăn chăn đẩy lùi sự suy thoái về tư tưởng chính trị, đạo đức, lối sống, những biểu hiện “ tự diễn biến” “ tự chuyển hóa” ;</w:t>
      </w:r>
      <w:r w:rsidR="00B87C80" w:rsidRPr="00CD7F23">
        <w:rPr>
          <w:rFonts w:ascii="Times New Roman" w:hAnsi="Times New Roman"/>
          <w:sz w:val="28"/>
          <w:szCs w:val="28"/>
          <w:lang w:val="it-IT"/>
        </w:rPr>
        <w:t xml:space="preserve"> Chỉ thị số 05-CT/TW của Bộ Chính trị về học tập và làm theo tư tưởng, đạo đức, phong cách Hồ Chí Minh</w:t>
      </w:r>
      <w:r w:rsidR="00B87C80">
        <w:rPr>
          <w:rFonts w:ascii="Times New Roman" w:hAnsi="Times New Roman"/>
          <w:sz w:val="28"/>
          <w:szCs w:val="28"/>
          <w:lang w:val="it-IT"/>
        </w:rPr>
        <w:t xml:space="preserve"> </w:t>
      </w:r>
      <w:r w:rsidR="00B87C80" w:rsidRPr="00CD7F23">
        <w:rPr>
          <w:rFonts w:ascii="Times New Roman" w:hAnsi="Times New Roman"/>
          <w:sz w:val="28"/>
          <w:szCs w:val="28"/>
          <w:lang w:val="it-IT"/>
        </w:rPr>
        <w:t>nhằm nâng cao bản lĩnh chính trị, phẩm chất đạo đức, lối sống, ý thức tổ chức kỷ luật. Nghiêm túc thực hiện tốt Quy tắc đạo đức ứng xử của cán bộ, công chứ</w:t>
      </w:r>
      <w:r w:rsidR="00B87C80">
        <w:rPr>
          <w:rFonts w:ascii="Times New Roman" w:hAnsi="Times New Roman"/>
          <w:sz w:val="28"/>
          <w:szCs w:val="28"/>
          <w:lang w:val="it-IT"/>
        </w:rPr>
        <w:t>c TAND;</w:t>
      </w:r>
      <w:r w:rsidR="00B87C80" w:rsidRPr="00CD7F23">
        <w:rPr>
          <w:rFonts w:ascii="Times New Roman" w:hAnsi="Times New Roman"/>
          <w:sz w:val="28"/>
          <w:szCs w:val="28"/>
          <w:lang w:val="it-IT"/>
        </w:rPr>
        <w:t xml:space="preserve"> Bộ quy tắc đạo đức và ứng xử của T</w:t>
      </w:r>
      <w:r w:rsidR="00B87C80">
        <w:rPr>
          <w:rFonts w:ascii="Times New Roman" w:hAnsi="Times New Roman"/>
          <w:sz w:val="28"/>
          <w:szCs w:val="28"/>
          <w:lang w:val="it-IT"/>
        </w:rPr>
        <w:t>hẩm phán;</w:t>
      </w:r>
      <w:r w:rsidR="00B87C80" w:rsidRPr="007F28B9">
        <w:rPr>
          <w:rFonts w:ascii="Times New Roman" w:hAnsi="Times New Roman"/>
          <w:sz w:val="28"/>
          <w:szCs w:val="28"/>
        </w:rPr>
        <w:t xml:space="preserve"> công tác phòng, chống tham nhũng, lãng phí, tiêu cực</w:t>
      </w:r>
      <w:r w:rsidR="00B87C80">
        <w:rPr>
          <w:rFonts w:ascii="Times New Roman" w:hAnsi="Times New Roman"/>
          <w:sz w:val="28"/>
          <w:szCs w:val="28"/>
        </w:rPr>
        <w:t xml:space="preserve"> tại Tòa án nhân dan hai cấp .</w:t>
      </w:r>
    </w:p>
    <w:p w14:paraId="20D87C01" w14:textId="77777777" w:rsidR="00B87C80" w:rsidRDefault="00B87C80" w:rsidP="008E67AC">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722D18">
        <w:rPr>
          <w:rFonts w:ascii="Times New Roman" w:eastAsia="Times New Roman" w:hAnsi="Times New Roman"/>
          <w:sz w:val="28"/>
          <w:szCs w:val="28"/>
        </w:rPr>
        <w:t xml:space="preserve">Tiếp tục quán triệt và thực hiện nghiêm túc công tác phòng, chống dịch Covid-19 theo chỉ đạo của Trung ương, Tòa án nhân dân tối cao, Tỉnh ủy, Ủy ban nhân dân tỉnh và các quy </w:t>
      </w:r>
      <w:r w:rsidRPr="00722D18">
        <w:rPr>
          <w:rFonts w:ascii="Times New Roman" w:eastAsia="Times New Roman" w:hAnsi="Times New Roman" w:hint="eastAsia"/>
          <w:sz w:val="28"/>
          <w:szCs w:val="28"/>
        </w:rPr>
        <w:t>đ</w:t>
      </w:r>
      <w:r w:rsidRPr="00722D18">
        <w:rPr>
          <w:rFonts w:ascii="Times New Roman" w:eastAsia="Times New Roman" w:hAnsi="Times New Roman"/>
          <w:sz w:val="28"/>
          <w:szCs w:val="28"/>
        </w:rPr>
        <w:t>ịnh, h</w:t>
      </w:r>
      <w:r w:rsidRPr="00722D18">
        <w:rPr>
          <w:rFonts w:ascii="Times New Roman" w:eastAsia="Times New Roman" w:hAnsi="Times New Roman" w:hint="eastAsia"/>
          <w:sz w:val="28"/>
          <w:szCs w:val="28"/>
        </w:rPr>
        <w:t>ư</w:t>
      </w:r>
      <w:r w:rsidRPr="00722D18">
        <w:rPr>
          <w:rFonts w:ascii="Times New Roman" w:eastAsia="Times New Roman" w:hAnsi="Times New Roman"/>
          <w:sz w:val="28"/>
          <w:szCs w:val="28"/>
        </w:rPr>
        <w:t xml:space="preserve">ớng dẫn công tác phòng, chống dịch của ngành Y tế, tuyệt </w:t>
      </w:r>
      <w:r w:rsidRPr="00722D18">
        <w:rPr>
          <w:rFonts w:ascii="Times New Roman" w:eastAsia="Times New Roman" w:hAnsi="Times New Roman" w:hint="eastAsia"/>
          <w:sz w:val="28"/>
          <w:szCs w:val="28"/>
        </w:rPr>
        <w:t>đ</w:t>
      </w:r>
      <w:r w:rsidRPr="00722D18">
        <w:rPr>
          <w:rFonts w:ascii="Times New Roman" w:eastAsia="Times New Roman" w:hAnsi="Times New Roman"/>
          <w:sz w:val="28"/>
          <w:szCs w:val="28"/>
        </w:rPr>
        <w:t xml:space="preserve">ối không </w:t>
      </w:r>
      <w:r w:rsidRPr="00722D18">
        <w:rPr>
          <w:rFonts w:ascii="Times New Roman" w:eastAsia="Times New Roman" w:hAnsi="Times New Roman" w:hint="eastAsia"/>
          <w:sz w:val="28"/>
          <w:szCs w:val="28"/>
        </w:rPr>
        <w:t>đư</w:t>
      </w:r>
      <w:r w:rsidRPr="00722D18">
        <w:rPr>
          <w:rFonts w:ascii="Times New Roman" w:eastAsia="Times New Roman" w:hAnsi="Times New Roman"/>
          <w:sz w:val="28"/>
          <w:szCs w:val="28"/>
        </w:rPr>
        <w:t>ợc l</w:t>
      </w:r>
      <w:r w:rsidRPr="00722D18">
        <w:rPr>
          <w:rFonts w:ascii="Times New Roman" w:eastAsia="Times New Roman" w:hAnsi="Times New Roman" w:hint="eastAsia"/>
          <w:sz w:val="28"/>
          <w:szCs w:val="28"/>
        </w:rPr>
        <w:t>ơ</w:t>
      </w:r>
      <w:r w:rsidRPr="00722D18">
        <w:rPr>
          <w:rFonts w:ascii="Times New Roman" w:eastAsia="Times New Roman" w:hAnsi="Times New Roman"/>
          <w:sz w:val="28"/>
          <w:szCs w:val="28"/>
        </w:rPr>
        <w:t xml:space="preserve"> là, chủ quan, bị </w:t>
      </w:r>
      <w:r w:rsidRPr="00722D18">
        <w:rPr>
          <w:rFonts w:ascii="Times New Roman" w:eastAsia="Times New Roman" w:hAnsi="Times New Roman" w:hint="eastAsia"/>
          <w:sz w:val="28"/>
          <w:szCs w:val="28"/>
        </w:rPr>
        <w:t>đ</w:t>
      </w:r>
      <w:r w:rsidRPr="00722D18">
        <w:rPr>
          <w:rFonts w:ascii="Times New Roman" w:eastAsia="Times New Roman" w:hAnsi="Times New Roman"/>
          <w:sz w:val="28"/>
          <w:szCs w:val="28"/>
        </w:rPr>
        <w:t>ộng, mất cảnh giác trong bất kỳ tình huống nào.</w:t>
      </w:r>
    </w:p>
    <w:p w14:paraId="2C19EE28" w14:textId="77777777" w:rsidR="00B87C80" w:rsidRDefault="00B87C80" w:rsidP="008E67AC">
      <w:pPr>
        <w:shd w:val="clear" w:color="auto" w:fill="FFFFFF"/>
        <w:spacing w:before="120" w:after="0" w:line="240" w:lineRule="auto"/>
        <w:ind w:right="176"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 Đẩy nhanh tiến độ giải quyết, xét xử các loại vụ án, tập trung nâng cao  chất lượng công tác xét xử, rà soát những vụ án tạm đình chỉ chủ động tiến hành các hoạt động tố tụng sớm đưa ra giải quyết; đối với những vụ án đủ điều kiện khẩn trương đưa ra giải quyết, xét xử kịp thời, đảm bảo đúng quy định; làm tốt công tác hòa giải trong giải quyết các vụ việc dân sự, công tác đối thoại trong giải quyết các vụ án hành chính; giải quyết đúng và kịp thời các loại đơn khiếu nại, tố cáo thuộc thẩm quyền; nâng cao chất lượng công tác kiểm tra, kịp thời phát hiện, xử lý, khắc phục ngay những sai sót về nghiệp vụ; bảo đảm hoàn thành chỉ tiêu nghiệp vụ do Quốc hội, Tòa án nhân dân tối cao giao.</w:t>
      </w:r>
    </w:p>
    <w:p w14:paraId="79D24C6B" w14:textId="77777777" w:rsidR="00B87C80" w:rsidRDefault="00B87C80" w:rsidP="008E67AC">
      <w:pPr>
        <w:shd w:val="clear" w:color="auto" w:fill="FFFFFF"/>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4.T</w:t>
      </w:r>
      <w:r w:rsidRPr="00670DA7">
        <w:rPr>
          <w:rFonts w:ascii="Times New Roman" w:eastAsia="Times New Roman" w:hAnsi="Times New Roman"/>
          <w:sz w:val="28"/>
          <w:szCs w:val="28"/>
        </w:rPr>
        <w:t>ổ chức thực hiện nghiêm các nhiệm vụ được giao theo Chỉ thị số 04/2016/CT-CA ngày 30-5-2016 về việc tăng cường công tác phát triển và công bố, áp dụng án lệ trong xét xử; Nghị quyết số 04/2019/NQ-HĐTP ngày 18-6-2019 về quy trình lựa</w:t>
      </w:r>
      <w:r>
        <w:rPr>
          <w:rFonts w:ascii="Times New Roman" w:eastAsia="Times New Roman" w:hAnsi="Times New Roman"/>
          <w:sz w:val="28"/>
          <w:szCs w:val="28"/>
        </w:rPr>
        <w:t xml:space="preserve"> chọn, công bố và áp dụng án lệ. Yêu cầu các đơn vị lựa chọn, đề xuất án lệ để TAND tỉnh đề nghị Tòa án nhân dân tối cao. </w:t>
      </w:r>
    </w:p>
    <w:p w14:paraId="13CAA78D" w14:textId="77777777" w:rsidR="00B87C80" w:rsidRDefault="00B87C80" w:rsidP="008E67AC">
      <w:pPr>
        <w:shd w:val="clear" w:color="auto" w:fill="FFFFFF"/>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 Phối hợp tốt với các cơ quan tiến hành tố tụng</w:t>
      </w:r>
      <w:r w:rsidRPr="00722D18">
        <w:rPr>
          <w:rFonts w:ascii="Times New Roman" w:eastAsia="Times New Roman" w:hAnsi="Times New Roman"/>
          <w:sz w:val="28"/>
          <w:szCs w:val="28"/>
        </w:rPr>
        <w:t xml:space="preserve"> khẩn trương đưa ra xét xử những vụ án liên quan đến lâm luật, ma túy, tín dụng đen, những vụ án liên quan đến xuất nhập cảnh hoặc ở lại Việt Nam trái pháp luật và các loại tội phạm liên quan đến công tác phòng, chống dịch bệnh.</w:t>
      </w:r>
    </w:p>
    <w:p w14:paraId="608A774E" w14:textId="77777777" w:rsidR="00E715B1" w:rsidRPr="00822DC5" w:rsidRDefault="00E715B1" w:rsidP="008E67AC">
      <w:pPr>
        <w:pStyle w:val="FootnoteText"/>
        <w:spacing w:before="120"/>
        <w:ind w:firstLine="720"/>
        <w:jc w:val="both"/>
        <w:rPr>
          <w:rFonts w:ascii="Times New Roman" w:hAnsi="Times New Roman"/>
          <w:b w:val="0"/>
          <w:sz w:val="28"/>
          <w:szCs w:val="28"/>
          <w:shd w:val="clear" w:color="auto" w:fill="FFFFFF"/>
        </w:rPr>
      </w:pPr>
      <w:r w:rsidRPr="00E715B1">
        <w:rPr>
          <w:b w:val="0"/>
          <w:sz w:val="28"/>
          <w:szCs w:val="28"/>
        </w:rPr>
        <w:lastRenderedPageBreak/>
        <w:t xml:space="preserve">6. </w:t>
      </w:r>
      <w:r w:rsidRPr="00822DC5">
        <w:rPr>
          <w:rFonts w:ascii="Times New Roman" w:hAnsi="Times New Roman"/>
          <w:b w:val="0"/>
          <w:sz w:val="28"/>
          <w:szCs w:val="28"/>
          <w:shd w:val="clear" w:color="auto" w:fill="FFFFFF"/>
        </w:rPr>
        <w:t>Nâng cao chất lượng công tác cán bộ xây dựng tiêu chí đánh giá, lấy hiệu quả hoàn thành nhiệm vụ làm thước</w:t>
      </w:r>
      <w:r>
        <w:rPr>
          <w:rFonts w:ascii="Times New Roman" w:hAnsi="Times New Roman"/>
          <w:b w:val="0"/>
          <w:sz w:val="28"/>
          <w:szCs w:val="28"/>
          <w:shd w:val="clear" w:color="auto" w:fill="FFFFFF"/>
        </w:rPr>
        <w:t xml:space="preserve"> đo chủ yếu để đánh giá cán bộ, chú trọng tiêu chí</w:t>
      </w:r>
      <w:r w:rsidRPr="00822DC5">
        <w:rPr>
          <w:rFonts w:ascii="Times New Roman" w:hAnsi="Times New Roman"/>
          <w:b w:val="0"/>
          <w:sz w:val="28"/>
          <w:szCs w:val="28"/>
          <w:shd w:val="clear" w:color="auto" w:fill="FFFFFF"/>
        </w:rPr>
        <w:t xml:space="preserve"> đánh giá cán bộ về phẩm chất chính trị, đạo đức lối sống, về năng lực và kết quả thực hiện chức trách nhiệm vụ được giao. Đối với cán bộ lãnh đạo chủ chốt phải gắn trách nhiệm cá nhân với tình hình thực hiện nhiệm </w:t>
      </w:r>
      <w:r>
        <w:rPr>
          <w:rFonts w:ascii="Times New Roman" w:hAnsi="Times New Roman"/>
          <w:b w:val="0"/>
          <w:sz w:val="28"/>
          <w:szCs w:val="28"/>
          <w:shd w:val="clear" w:color="auto" w:fill="FFFFFF"/>
        </w:rPr>
        <w:t>vụ chính trị địa phương, đơn vị</w:t>
      </w:r>
      <w:r w:rsidRPr="00822DC5">
        <w:rPr>
          <w:rFonts w:ascii="Times New Roman" w:hAnsi="Times New Roman"/>
          <w:b w:val="0"/>
          <w:sz w:val="28"/>
          <w:szCs w:val="28"/>
          <w:shd w:val="clear" w:color="auto" w:fill="FFFFFF"/>
        </w:rPr>
        <w:t xml:space="preserve">, củng cố kiện toàn đủ đội ngũ cán lãnh đạo, quản lý đề nghị TAND tối cao bổ sung biên chế hiện đang thiếu. Tiếp tục thực hiện linh hoạt công tác điều động, luân chuyển, biệt phái, chuyển đổi vị trí công tác đối với lãnh đạo,Thẩm phán, Thư ký </w:t>
      </w:r>
      <w:r>
        <w:rPr>
          <w:rFonts w:ascii="Times New Roman" w:hAnsi="Times New Roman"/>
          <w:b w:val="0"/>
          <w:sz w:val="28"/>
          <w:szCs w:val="28"/>
          <w:shd w:val="clear" w:color="auto" w:fill="FFFFFF"/>
        </w:rPr>
        <w:t>theo kế hoạch và chủ trương</w:t>
      </w:r>
      <w:r w:rsidRPr="00822DC5">
        <w:rPr>
          <w:rFonts w:ascii="Times New Roman" w:hAnsi="Times New Roman"/>
          <w:b w:val="0"/>
          <w:color w:val="FF0000"/>
          <w:sz w:val="28"/>
          <w:szCs w:val="28"/>
          <w:shd w:val="clear" w:color="auto" w:fill="FFFFFF"/>
        </w:rPr>
        <w:t xml:space="preserve"> </w:t>
      </w:r>
      <w:r>
        <w:rPr>
          <w:rFonts w:ascii="Times New Roman" w:hAnsi="Times New Roman"/>
          <w:b w:val="0"/>
          <w:sz w:val="28"/>
          <w:szCs w:val="28"/>
          <w:shd w:val="clear" w:color="auto" w:fill="FFFFFF"/>
        </w:rPr>
        <w:t>của Tòa án nhân dân tối cao</w:t>
      </w:r>
      <w:r w:rsidRPr="00822DC5">
        <w:rPr>
          <w:rFonts w:ascii="Times New Roman" w:hAnsi="Times New Roman"/>
          <w:b w:val="0"/>
          <w:sz w:val="28"/>
          <w:szCs w:val="28"/>
          <w:shd w:val="clear" w:color="auto" w:fill="FFFFFF"/>
        </w:rPr>
        <w:t>.</w:t>
      </w:r>
    </w:p>
    <w:p w14:paraId="3B0FD62F" w14:textId="77777777" w:rsidR="00D84E9C" w:rsidRDefault="00D84E9C" w:rsidP="008E67AC">
      <w:pPr>
        <w:shd w:val="clear" w:color="auto" w:fill="FFFFFF"/>
        <w:spacing w:before="12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w:t>
      </w:r>
      <w:r w:rsidRPr="00722D18">
        <w:rPr>
          <w:rFonts w:ascii="Times New Roman" w:eastAsia="Times New Roman" w:hAnsi="Times New Roman"/>
          <w:color w:val="000000"/>
          <w:sz w:val="28"/>
          <w:szCs w:val="28"/>
        </w:rPr>
        <w:t>Chú trọng, thực hiện t</w:t>
      </w:r>
      <w:r>
        <w:rPr>
          <w:rFonts w:ascii="Times New Roman" w:eastAsia="Times New Roman" w:hAnsi="Times New Roman"/>
          <w:color w:val="000000"/>
          <w:sz w:val="28"/>
          <w:szCs w:val="28"/>
        </w:rPr>
        <w:t xml:space="preserve">ốt công tác tiếp công dân theo </w:t>
      </w:r>
      <w:r w:rsidRPr="00722D18">
        <w:rPr>
          <w:rFonts w:ascii="Times New Roman" w:eastAsia="Times New Roman" w:hAnsi="Times New Roman"/>
          <w:color w:val="000000"/>
          <w:sz w:val="28"/>
          <w:szCs w:val="28"/>
        </w:rPr>
        <w:t>Luật Tiếp công dân</w:t>
      </w:r>
      <w:r>
        <w:rPr>
          <w:rFonts w:ascii="Times New Roman" w:eastAsia="Times New Roman" w:hAnsi="Times New Roman"/>
          <w:color w:val="000000"/>
          <w:sz w:val="28"/>
          <w:szCs w:val="28"/>
        </w:rPr>
        <w:t>, và lịch tiếp công dân đã ban hành</w:t>
      </w:r>
      <w:r w:rsidRPr="00722D1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đảm bảo công tác thụ lý, </w:t>
      </w:r>
      <w:r w:rsidRPr="00722D18">
        <w:rPr>
          <w:rFonts w:ascii="Times New Roman" w:eastAsia="Times New Roman" w:hAnsi="Times New Roman"/>
          <w:color w:val="000000"/>
          <w:sz w:val="28"/>
          <w:szCs w:val="28"/>
        </w:rPr>
        <w:t>giải quyết khiếu nại, tố c</w:t>
      </w:r>
      <w:r>
        <w:rPr>
          <w:rFonts w:ascii="Times New Roman" w:eastAsia="Times New Roman" w:hAnsi="Times New Roman"/>
          <w:color w:val="000000"/>
          <w:sz w:val="28"/>
          <w:szCs w:val="28"/>
        </w:rPr>
        <w:t>áo đúng quy định của pháp luật.</w:t>
      </w:r>
    </w:p>
    <w:p w14:paraId="6998A3A9" w14:textId="77777777" w:rsidR="00AF7DF2" w:rsidRPr="008C2AF8" w:rsidRDefault="00D84E9C" w:rsidP="008E67AC">
      <w:pPr>
        <w:pStyle w:val="NormalWeb"/>
        <w:shd w:val="clear" w:color="auto" w:fill="FFFFFF"/>
        <w:spacing w:before="120" w:beforeAutospacing="0" w:after="0" w:afterAutospacing="0"/>
        <w:ind w:firstLine="720"/>
        <w:jc w:val="both"/>
        <w:textAlignment w:val="baseline"/>
        <w:rPr>
          <w:sz w:val="28"/>
          <w:szCs w:val="28"/>
        </w:rPr>
      </w:pPr>
      <w:r>
        <w:rPr>
          <w:color w:val="000000"/>
          <w:sz w:val="28"/>
          <w:szCs w:val="28"/>
        </w:rPr>
        <w:t>8.</w:t>
      </w:r>
      <w:r w:rsidRPr="00F43CDB">
        <w:rPr>
          <w:sz w:val="28"/>
          <w:szCs w:val="28"/>
        </w:rPr>
        <w:t xml:space="preserve"> Tiếp tục ứng dụng công nghệ thông tin; cải cách thủ tục hành chính-tư pháp; xây dựng Tòa án điện tử.</w:t>
      </w: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551"/>
      </w:tblGrid>
      <w:tr w:rsidR="00AF7DF2" w14:paraId="2E81BB43" w14:textId="77777777" w:rsidTr="00800B4E">
        <w:trPr>
          <w:trHeight w:val="1504"/>
        </w:trPr>
        <w:tc>
          <w:tcPr>
            <w:tcW w:w="5070" w:type="dxa"/>
          </w:tcPr>
          <w:p w14:paraId="1FCB7B64" w14:textId="77777777" w:rsidR="00AF7DF2" w:rsidRDefault="00AF7DF2" w:rsidP="004456DB">
            <w:pPr>
              <w:pStyle w:val="NormalWeb"/>
              <w:shd w:val="clear" w:color="auto" w:fill="FFFFFF"/>
              <w:tabs>
                <w:tab w:val="center" w:pos="7371"/>
              </w:tabs>
              <w:spacing w:before="240" w:beforeAutospacing="0" w:after="0" w:afterAutospacing="0"/>
              <w:jc w:val="both"/>
              <w:rPr>
                <w:color w:val="000000"/>
                <w:sz w:val="28"/>
                <w:szCs w:val="28"/>
              </w:rPr>
            </w:pPr>
            <w:r>
              <w:rPr>
                <w:b/>
                <w:i/>
                <w:color w:val="000000"/>
                <w:szCs w:val="28"/>
              </w:rPr>
              <w:t>Nơi nhận</w:t>
            </w:r>
            <w:r>
              <w:rPr>
                <w:color w:val="000000"/>
                <w:sz w:val="28"/>
                <w:szCs w:val="28"/>
              </w:rPr>
              <w:t>:</w:t>
            </w:r>
            <w:r>
              <w:rPr>
                <w:color w:val="000000"/>
                <w:sz w:val="28"/>
                <w:szCs w:val="28"/>
              </w:rPr>
              <w:tab/>
            </w:r>
          </w:p>
          <w:p w14:paraId="5C495B81" w14:textId="77777777" w:rsidR="00AF7DF2" w:rsidRDefault="00AF7DF2" w:rsidP="00800B4E">
            <w:pPr>
              <w:pStyle w:val="NormalWeb"/>
              <w:shd w:val="clear" w:color="auto" w:fill="FFFFFF"/>
              <w:tabs>
                <w:tab w:val="center" w:pos="7371"/>
              </w:tabs>
              <w:spacing w:before="0" w:beforeAutospacing="0" w:after="0" w:afterAutospacing="0"/>
              <w:jc w:val="both"/>
              <w:rPr>
                <w:b/>
                <w:color w:val="000000"/>
                <w:sz w:val="28"/>
                <w:szCs w:val="28"/>
              </w:rPr>
            </w:pPr>
            <w:r>
              <w:rPr>
                <w:color w:val="000000"/>
                <w:sz w:val="22"/>
                <w:szCs w:val="28"/>
              </w:rPr>
              <w:t>Thường trực HĐND tỉnh;</w:t>
            </w:r>
            <w:r>
              <w:rPr>
                <w:color w:val="000000"/>
                <w:sz w:val="28"/>
                <w:szCs w:val="28"/>
              </w:rPr>
              <w:tab/>
            </w:r>
          </w:p>
          <w:p w14:paraId="05485C34" w14:textId="77777777" w:rsidR="00AF7DF2" w:rsidRPr="00CA6E1E" w:rsidRDefault="00AF7DF2" w:rsidP="00800B4E">
            <w:pPr>
              <w:pStyle w:val="NormalWeb"/>
              <w:shd w:val="clear" w:color="auto" w:fill="FFFFFF"/>
              <w:tabs>
                <w:tab w:val="left" w:pos="1905"/>
              </w:tabs>
              <w:spacing w:before="0" w:beforeAutospacing="0" w:after="0" w:afterAutospacing="0"/>
              <w:jc w:val="both"/>
              <w:rPr>
                <w:color w:val="000000"/>
                <w:sz w:val="22"/>
                <w:szCs w:val="28"/>
              </w:rPr>
            </w:pPr>
            <w:r>
              <w:rPr>
                <w:color w:val="000000"/>
                <w:sz w:val="22"/>
                <w:szCs w:val="28"/>
              </w:rPr>
              <w:t>- Lưu: VT, TA.</w:t>
            </w:r>
            <w:r>
              <w:rPr>
                <w:color w:val="000000"/>
                <w:sz w:val="22"/>
                <w:szCs w:val="28"/>
              </w:rPr>
              <w:tab/>
            </w:r>
          </w:p>
          <w:p w14:paraId="4405DF6D" w14:textId="77777777" w:rsidR="00AF7DF2" w:rsidRDefault="00AF7DF2" w:rsidP="00800B4E">
            <w:pPr>
              <w:spacing w:line="200" w:lineRule="exact"/>
              <w:rPr>
                <w:rFonts w:ascii="Times New Roman" w:eastAsia="Times New Roman" w:hAnsi="Times New Roman"/>
                <w:b/>
                <w:i/>
              </w:rPr>
            </w:pPr>
          </w:p>
          <w:p w14:paraId="30593CB4" w14:textId="77777777" w:rsidR="00AF7DF2" w:rsidRDefault="00AF7DF2" w:rsidP="00800B4E">
            <w:pPr>
              <w:spacing w:line="200" w:lineRule="exact"/>
              <w:rPr>
                <w:rFonts w:ascii="Times New Roman" w:eastAsia="Times New Roman" w:hAnsi="Times New Roman"/>
                <w:b/>
                <w:i/>
              </w:rPr>
            </w:pPr>
          </w:p>
          <w:p w14:paraId="6A7A92A4" w14:textId="77777777" w:rsidR="00AF7DF2" w:rsidRPr="005A23E4" w:rsidRDefault="00AF7DF2" w:rsidP="00800B4E">
            <w:pPr>
              <w:spacing w:line="200" w:lineRule="exact"/>
              <w:rPr>
                <w:rFonts w:ascii="Times New Roman" w:eastAsia="Times New Roman" w:hAnsi="Times New Roman"/>
                <w:b/>
                <w:i/>
              </w:rPr>
            </w:pPr>
          </w:p>
        </w:tc>
        <w:tc>
          <w:tcPr>
            <w:tcW w:w="4551" w:type="dxa"/>
          </w:tcPr>
          <w:p w14:paraId="7B5881D4" w14:textId="77777777" w:rsidR="00AF7DF2" w:rsidRDefault="00AF7DF2" w:rsidP="004456DB">
            <w:pPr>
              <w:pStyle w:val="NormalWeb"/>
              <w:shd w:val="clear" w:color="auto" w:fill="FFFFFF"/>
              <w:tabs>
                <w:tab w:val="center" w:pos="7371"/>
              </w:tabs>
              <w:spacing w:before="240" w:beforeAutospacing="0" w:after="0" w:afterAutospacing="0"/>
              <w:jc w:val="center"/>
              <w:rPr>
                <w:color w:val="000000"/>
                <w:sz w:val="28"/>
                <w:szCs w:val="28"/>
              </w:rPr>
            </w:pPr>
            <w:r>
              <w:rPr>
                <w:b/>
                <w:color w:val="000000"/>
                <w:sz w:val="28"/>
                <w:szCs w:val="28"/>
              </w:rPr>
              <w:t>CHÁNH ÁN</w:t>
            </w:r>
          </w:p>
          <w:p w14:paraId="0D79A392" w14:textId="77777777" w:rsidR="00AF7DF2" w:rsidRDefault="00AF7DF2" w:rsidP="00800B4E">
            <w:pPr>
              <w:pStyle w:val="BodyTextIndent2"/>
              <w:spacing w:before="120" w:after="0" w:line="240" w:lineRule="auto"/>
              <w:ind w:left="0"/>
              <w:jc w:val="center"/>
              <w:rPr>
                <w:rFonts w:ascii="Times New Roman" w:hAnsi="Times New Roman"/>
                <w:b/>
                <w:sz w:val="28"/>
                <w:szCs w:val="28"/>
              </w:rPr>
            </w:pPr>
          </w:p>
          <w:p w14:paraId="0E84CDC4" w14:textId="77777777" w:rsidR="00AF7DF2" w:rsidRDefault="00AF7DF2" w:rsidP="00800B4E">
            <w:pPr>
              <w:pStyle w:val="BodyTextIndent2"/>
              <w:spacing w:before="120" w:after="0" w:line="240" w:lineRule="auto"/>
              <w:ind w:left="0"/>
              <w:jc w:val="center"/>
              <w:rPr>
                <w:rFonts w:ascii="Times New Roman" w:hAnsi="Times New Roman"/>
                <w:b/>
                <w:sz w:val="28"/>
                <w:szCs w:val="28"/>
              </w:rPr>
            </w:pPr>
          </w:p>
          <w:p w14:paraId="17D694BF" w14:textId="77777777" w:rsidR="00AF7DF2" w:rsidRDefault="00AF7DF2" w:rsidP="00800B4E">
            <w:pPr>
              <w:pStyle w:val="BodyTextIndent2"/>
              <w:spacing w:before="120" w:after="0" w:line="240" w:lineRule="auto"/>
              <w:ind w:left="0"/>
              <w:rPr>
                <w:rFonts w:ascii="Times New Roman" w:hAnsi="Times New Roman"/>
                <w:b/>
                <w:sz w:val="28"/>
                <w:szCs w:val="28"/>
              </w:rPr>
            </w:pPr>
          </w:p>
          <w:p w14:paraId="1E15343D" w14:textId="77777777" w:rsidR="00AF7DF2" w:rsidRPr="00DB0C91" w:rsidRDefault="00AF7DF2" w:rsidP="00800B4E">
            <w:pPr>
              <w:pStyle w:val="BodyTextIndent2"/>
              <w:spacing w:before="120" w:after="0" w:line="240" w:lineRule="auto"/>
              <w:ind w:left="0"/>
              <w:jc w:val="center"/>
              <w:rPr>
                <w:rFonts w:ascii="Times New Roman" w:hAnsi="Times New Roman"/>
                <w:b/>
                <w:sz w:val="28"/>
                <w:szCs w:val="28"/>
              </w:rPr>
            </w:pPr>
            <w:r>
              <w:rPr>
                <w:rFonts w:ascii="Times New Roman" w:hAnsi="Times New Roman"/>
                <w:b/>
                <w:sz w:val="28"/>
                <w:szCs w:val="28"/>
              </w:rPr>
              <w:t>Đỗ Thị Kim Thư</w:t>
            </w:r>
          </w:p>
        </w:tc>
      </w:tr>
    </w:tbl>
    <w:p w14:paraId="41F9CE89" w14:textId="77777777" w:rsidR="0079339F" w:rsidRDefault="00AF7851"/>
    <w:sectPr w:rsidR="0079339F" w:rsidSect="001C0C1C">
      <w:headerReference w:type="default" r:id="rId7"/>
      <w:pgSz w:w="11907" w:h="16840" w:code="9"/>
      <w:pgMar w:top="1134" w:right="1134" w:bottom="1134" w:left="1701" w:header="0" w:footer="0" w:gutter="0"/>
      <w:paperSrc w:firs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3569" w14:textId="77777777" w:rsidR="00AF7851" w:rsidRDefault="00AF7851" w:rsidP="001C0C1C">
      <w:pPr>
        <w:spacing w:after="0" w:line="240" w:lineRule="auto"/>
      </w:pPr>
      <w:r>
        <w:separator/>
      </w:r>
    </w:p>
  </w:endnote>
  <w:endnote w:type="continuationSeparator" w:id="0">
    <w:p w14:paraId="19BAA227" w14:textId="77777777" w:rsidR="00AF7851" w:rsidRDefault="00AF7851" w:rsidP="001C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E7EF" w14:textId="77777777" w:rsidR="00AF7851" w:rsidRDefault="00AF7851" w:rsidP="001C0C1C">
      <w:pPr>
        <w:spacing w:after="0" w:line="240" w:lineRule="auto"/>
      </w:pPr>
      <w:r>
        <w:separator/>
      </w:r>
    </w:p>
  </w:footnote>
  <w:footnote w:type="continuationSeparator" w:id="0">
    <w:p w14:paraId="532096D9" w14:textId="77777777" w:rsidR="00AF7851" w:rsidRDefault="00AF7851" w:rsidP="001C0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70654"/>
      <w:docPartObj>
        <w:docPartGallery w:val="Page Numbers (Top of Page)"/>
        <w:docPartUnique/>
      </w:docPartObj>
    </w:sdtPr>
    <w:sdtEndPr>
      <w:rPr>
        <w:noProof/>
      </w:rPr>
    </w:sdtEndPr>
    <w:sdtContent>
      <w:p w14:paraId="1BF46FB5" w14:textId="77777777" w:rsidR="002B7517" w:rsidRDefault="00AF7851">
        <w:pPr>
          <w:pStyle w:val="Header"/>
          <w:jc w:val="center"/>
        </w:pPr>
      </w:p>
      <w:p w14:paraId="0B6E361E" w14:textId="77777777" w:rsidR="002B7517" w:rsidRDefault="005B16F1">
        <w:pPr>
          <w:pStyle w:val="Header"/>
          <w:jc w:val="center"/>
        </w:pPr>
        <w:r>
          <w:fldChar w:fldCharType="begin"/>
        </w:r>
        <w:r>
          <w:instrText xml:space="preserve"> PAGE   \* MERGEFORMAT </w:instrText>
        </w:r>
        <w:r>
          <w:fldChar w:fldCharType="separate"/>
        </w:r>
        <w:r w:rsidR="00D84E9C">
          <w:rPr>
            <w:noProof/>
          </w:rPr>
          <w:t>6</w:t>
        </w:r>
        <w:r>
          <w:rPr>
            <w:noProof/>
          </w:rPr>
          <w:fldChar w:fldCharType="end"/>
        </w:r>
      </w:p>
    </w:sdtContent>
  </w:sdt>
  <w:p w14:paraId="1E1EDBB1" w14:textId="77777777" w:rsidR="002B7517" w:rsidRDefault="00AF7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F2"/>
    <w:rsid w:val="00050671"/>
    <w:rsid w:val="00053CB9"/>
    <w:rsid w:val="00083ED7"/>
    <w:rsid w:val="00177B62"/>
    <w:rsid w:val="001C0C1C"/>
    <w:rsid w:val="002370E6"/>
    <w:rsid w:val="00244EC8"/>
    <w:rsid w:val="003C6578"/>
    <w:rsid w:val="004456DB"/>
    <w:rsid w:val="00486C8B"/>
    <w:rsid w:val="005B16F1"/>
    <w:rsid w:val="0064348C"/>
    <w:rsid w:val="007D742E"/>
    <w:rsid w:val="008365B8"/>
    <w:rsid w:val="008E67AC"/>
    <w:rsid w:val="009E1513"/>
    <w:rsid w:val="00A245FB"/>
    <w:rsid w:val="00A35D31"/>
    <w:rsid w:val="00AF7851"/>
    <w:rsid w:val="00AF7DF2"/>
    <w:rsid w:val="00B10C46"/>
    <w:rsid w:val="00B87C80"/>
    <w:rsid w:val="00C1207F"/>
    <w:rsid w:val="00C1790E"/>
    <w:rsid w:val="00D11A18"/>
    <w:rsid w:val="00D84E9C"/>
    <w:rsid w:val="00E715B1"/>
    <w:rsid w:val="00E960C2"/>
    <w:rsid w:val="00EE5CA6"/>
    <w:rsid w:val="00F3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15CB"/>
  <w15:chartTrackingRefBased/>
  <w15:docId w15:val="{1C0C1621-2E8F-491D-80E6-E6BF61B1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
    <w:name w:val="t-c"/>
    <w:basedOn w:val="Normal"/>
    <w:rsid w:val="00AF7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DF2"/>
    <w:rPr>
      <w:b/>
      <w:bCs/>
    </w:rPr>
  </w:style>
  <w:style w:type="paragraph" w:styleId="NormalWeb">
    <w:name w:val="Normal (Web)"/>
    <w:basedOn w:val="Normal"/>
    <w:link w:val="NormalWebChar"/>
    <w:uiPriority w:val="99"/>
    <w:unhideWhenUsed/>
    <w:rsid w:val="00AF7D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F2"/>
  </w:style>
  <w:style w:type="paragraph" w:styleId="BodyTextIndent2">
    <w:name w:val="Body Text Indent 2"/>
    <w:basedOn w:val="Normal"/>
    <w:link w:val="BodyTextIndent2Char"/>
    <w:uiPriority w:val="99"/>
    <w:unhideWhenUsed/>
    <w:rsid w:val="00AF7DF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AF7DF2"/>
    <w:rPr>
      <w:rFonts w:ascii="Calibri" w:eastAsia="Calibri" w:hAnsi="Calibri" w:cs="Times New Roman"/>
    </w:rPr>
  </w:style>
  <w:style w:type="table" w:styleId="TableGrid">
    <w:name w:val="Table Grid"/>
    <w:basedOn w:val="TableNormal"/>
    <w:uiPriority w:val="59"/>
    <w:rsid w:val="00AF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C0C1C"/>
    <w:rPr>
      <w:vertAlign w:val="superscript"/>
    </w:rPr>
  </w:style>
  <w:style w:type="paragraph" w:styleId="ListParagraph">
    <w:name w:val="List Paragraph"/>
    <w:basedOn w:val="Normal"/>
    <w:uiPriority w:val="34"/>
    <w:qFormat/>
    <w:rsid w:val="001C0C1C"/>
    <w:pPr>
      <w:spacing w:after="200" w:line="276" w:lineRule="auto"/>
      <w:ind w:left="720"/>
      <w:contextualSpacing/>
    </w:pPr>
    <w:rPr>
      <w:rFonts w:ascii="Calibri" w:eastAsia="Calibri" w:hAnsi="Calibri" w:cs="Times New Roman"/>
    </w:rPr>
  </w:style>
  <w:style w:type="character" w:customStyle="1" w:styleId="NormalWebChar">
    <w:name w:val="Normal (Web) Char"/>
    <w:link w:val="NormalWeb"/>
    <w:uiPriority w:val="99"/>
    <w:locked/>
    <w:rsid w:val="00C120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DB"/>
    <w:rPr>
      <w:rFonts w:ascii="Segoe UI" w:hAnsi="Segoe UI" w:cs="Segoe UI"/>
      <w:sz w:val="18"/>
      <w:szCs w:val="18"/>
    </w:rPr>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
    <w:basedOn w:val="Normal"/>
    <w:link w:val="FootnoteTextChar"/>
    <w:uiPriority w:val="99"/>
    <w:unhideWhenUsed/>
    <w:rsid w:val="00EE5CA6"/>
    <w:pPr>
      <w:spacing w:after="0" w:line="240" w:lineRule="auto"/>
    </w:pPr>
    <w:rPr>
      <w:rFonts w:ascii=".VnTime" w:eastAsia="Times New Roman" w:hAnsi=".VnTime" w:cs="Times New Roman"/>
      <w:b/>
      <w:kern w:val="28"/>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EE5CA6"/>
    <w:rPr>
      <w:rFonts w:ascii=".VnTime" w:eastAsia="Times New Roman" w:hAnsi=".VnTime" w:cs="Times New Roman"/>
      <w:b/>
      <w:kern w:val="28"/>
      <w:sz w:val="20"/>
      <w:szCs w:val="20"/>
    </w:rPr>
  </w:style>
  <w:style w:type="paragraph" w:styleId="Footer">
    <w:name w:val="footer"/>
    <w:basedOn w:val="Normal"/>
    <w:link w:val="FooterChar"/>
    <w:uiPriority w:val="99"/>
    <w:unhideWhenUsed/>
    <w:rsid w:val="00D8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5E01-39C5-4C9F-9EC0-DC04DD6F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Bùi Thắng</cp:lastModifiedBy>
  <cp:revision>20</cp:revision>
  <cp:lastPrinted>2021-12-06T08:35:00Z</cp:lastPrinted>
  <dcterms:created xsi:type="dcterms:W3CDTF">2021-12-06T07:53:00Z</dcterms:created>
  <dcterms:modified xsi:type="dcterms:W3CDTF">2021-12-06T09:57:00Z</dcterms:modified>
</cp:coreProperties>
</file>