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jc w:val="center"/>
        <w:tblLayout w:type="fixed"/>
        <w:tblLook w:val="0000" w:firstRow="0" w:lastRow="0" w:firstColumn="0" w:lastColumn="0" w:noHBand="0" w:noVBand="0"/>
      </w:tblPr>
      <w:tblGrid>
        <w:gridCol w:w="3390"/>
        <w:gridCol w:w="6366"/>
      </w:tblGrid>
      <w:tr w:rsidR="00A64CC7" w:rsidRPr="008C30F1" w:rsidTr="000B796E">
        <w:trPr>
          <w:trHeight w:val="640"/>
          <w:jc w:val="center"/>
        </w:trPr>
        <w:tc>
          <w:tcPr>
            <w:tcW w:w="3390" w:type="dxa"/>
          </w:tcPr>
          <w:p w:rsidR="00A64CC7" w:rsidRPr="008C30F1" w:rsidRDefault="008049C3" w:rsidP="00BD3968">
            <w:pPr>
              <w:pStyle w:val="Heading2"/>
              <w:rPr>
                <w:b w:val="0"/>
                <w:sz w:val="26"/>
                <w:szCs w:val="26"/>
              </w:rPr>
            </w:pPr>
            <w:r w:rsidRPr="008C30F1">
              <w:rPr>
                <w:b w:val="0"/>
                <w:sz w:val="26"/>
                <w:szCs w:val="26"/>
              </w:rPr>
              <w:t xml:space="preserve">  </w:t>
            </w:r>
            <w:r w:rsidR="00A64CC7" w:rsidRPr="008C30F1">
              <w:rPr>
                <w:b w:val="0"/>
                <w:sz w:val="26"/>
                <w:szCs w:val="26"/>
              </w:rPr>
              <w:t>HĐND TỈNH KON TUM</w:t>
            </w:r>
          </w:p>
          <w:p w:rsidR="00A64CC7" w:rsidRPr="008C30F1" w:rsidRDefault="009C20E3" w:rsidP="00BD3968">
            <w:pPr>
              <w:jc w:val="center"/>
              <w:rPr>
                <w:rFonts w:ascii="Times New Roman" w:hAnsi="Times New Roman"/>
                <w:b/>
                <w:sz w:val="26"/>
                <w:szCs w:val="26"/>
                <w:lang w:val="en-US"/>
              </w:rPr>
            </w:pPr>
            <w:r w:rsidRPr="008C30F1">
              <w:rPr>
                <w:noProof/>
                <w:lang w:val="en-US"/>
              </w:rPr>
              <mc:AlternateContent>
                <mc:Choice Requires="wps">
                  <w:drawing>
                    <wp:anchor distT="4294967290" distB="4294967290" distL="114300" distR="114300" simplePos="0" relativeHeight="251657728" behindDoc="0" locked="0" layoutInCell="1" allowOverlap="1" wp14:anchorId="6516ED03" wp14:editId="3B8F8194">
                      <wp:simplePos x="0" y="0"/>
                      <wp:positionH relativeFrom="column">
                        <wp:posOffset>826770</wp:posOffset>
                      </wp:positionH>
                      <wp:positionV relativeFrom="paragraph">
                        <wp:posOffset>229234</wp:posOffset>
                      </wp:positionV>
                      <wp:extent cx="342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176C344" id="Straight Connector 3"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5.1pt,18.05pt" to="92.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hHyAEAAHYDAAAOAAAAZHJzL2Uyb0RvYy54bWysU9uO0zAQfUfiHyy/0/TCIjZqug9dlpcF&#10;KnX5gKntJBaOxxq7Tfv3jN0LC7wh8mB5bsdzzkyWD8fBiYOhaNE3cjaZSmG8Qm1918jvL0/vPko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"/>
                  </w:pict>
                </mc:Fallback>
              </mc:AlternateContent>
            </w:r>
            <w:r w:rsidR="000C7656" w:rsidRPr="008C30F1">
              <w:rPr>
                <w:rFonts w:ascii="Times New Roman" w:hAnsi="Times New Roman"/>
                <w:b/>
                <w:sz w:val="26"/>
                <w:szCs w:val="26"/>
                <w:lang w:val="en-US"/>
              </w:rPr>
              <w:t>ĐOÀN GIÁM SÁT</w:t>
            </w:r>
          </w:p>
        </w:tc>
        <w:tc>
          <w:tcPr>
            <w:tcW w:w="6366" w:type="dxa"/>
          </w:tcPr>
          <w:p w:rsidR="00A64CC7" w:rsidRPr="008C30F1" w:rsidRDefault="00A64CC7" w:rsidP="00BD3968">
            <w:pPr>
              <w:pStyle w:val="Heading2"/>
              <w:rPr>
                <w:sz w:val="26"/>
                <w:szCs w:val="26"/>
                <w:lang w:val="vi-VN"/>
              </w:rPr>
            </w:pPr>
            <w:r w:rsidRPr="008C30F1">
              <w:rPr>
                <w:sz w:val="26"/>
                <w:szCs w:val="26"/>
                <w:lang w:val="vi-VN"/>
              </w:rPr>
              <w:t>CỘNG HOÀ XÃ HỘI CHỦ NGHĨA VIỆT NAM</w:t>
            </w:r>
          </w:p>
          <w:p w:rsidR="00A64CC7" w:rsidRPr="008C30F1" w:rsidRDefault="009C20E3" w:rsidP="00BD3968">
            <w:pPr>
              <w:jc w:val="center"/>
              <w:rPr>
                <w:rFonts w:ascii="Times New Roman" w:hAnsi="Times New Roman"/>
                <w:sz w:val="26"/>
                <w:szCs w:val="26"/>
              </w:rPr>
            </w:pPr>
            <w:r w:rsidRPr="008C30F1">
              <w:rPr>
                <w:noProof/>
                <w:lang w:val="en-US"/>
              </w:rPr>
              <mc:AlternateContent>
                <mc:Choice Requires="wps">
                  <w:drawing>
                    <wp:anchor distT="4294967290" distB="4294967290" distL="114300" distR="114300" simplePos="0" relativeHeight="251658752" behindDoc="0" locked="0" layoutInCell="1" allowOverlap="1" wp14:anchorId="0B6ADD6A" wp14:editId="1DBCEC66">
                      <wp:simplePos x="0" y="0"/>
                      <wp:positionH relativeFrom="column">
                        <wp:posOffset>943610</wp:posOffset>
                      </wp:positionH>
                      <wp:positionV relativeFrom="paragraph">
                        <wp:posOffset>228599</wp:posOffset>
                      </wp:positionV>
                      <wp:extent cx="2092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30794A" id="Straight Connector 2" o:spid="_x0000_s1026" style="position:absolute;z-index:251658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4.3pt,18pt" to="23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"/>
                  </w:pict>
                </mc:Fallback>
              </mc:AlternateContent>
            </w:r>
            <w:r w:rsidR="00A64CC7" w:rsidRPr="008C30F1">
              <w:rPr>
                <w:rFonts w:ascii="Times New Roman" w:hAnsi="Times New Roman"/>
                <w:b/>
                <w:sz w:val="26"/>
                <w:szCs w:val="26"/>
              </w:rPr>
              <w:t>Độc lập - Tự do - Hạnh phúc</w:t>
            </w:r>
          </w:p>
        </w:tc>
      </w:tr>
      <w:tr w:rsidR="00A64CC7" w:rsidRPr="008C30F1" w:rsidTr="000B796E">
        <w:trPr>
          <w:trHeight w:val="420"/>
          <w:jc w:val="center"/>
        </w:trPr>
        <w:tc>
          <w:tcPr>
            <w:tcW w:w="3390" w:type="dxa"/>
          </w:tcPr>
          <w:p w:rsidR="00A64CC7" w:rsidRPr="008C30F1" w:rsidRDefault="00A64CC7" w:rsidP="00A64CC7">
            <w:pPr>
              <w:spacing w:before="120" w:after="120"/>
              <w:jc w:val="center"/>
              <w:rPr>
                <w:rFonts w:ascii="Times New Roman" w:hAnsi="Times New Roman"/>
                <w:b/>
                <w:sz w:val="26"/>
                <w:szCs w:val="26"/>
                <w:lang w:val="en-US"/>
              </w:rPr>
            </w:pPr>
            <w:r w:rsidRPr="008C30F1">
              <w:rPr>
                <w:rFonts w:ascii="Times New Roman" w:hAnsi="Times New Roman"/>
                <w:sz w:val="26"/>
                <w:szCs w:val="26"/>
              </w:rPr>
              <w:t xml:space="preserve">Số: </w:t>
            </w:r>
            <w:r w:rsidR="00DA2579">
              <w:rPr>
                <w:rFonts w:ascii="Times New Roman" w:hAnsi="Times New Roman"/>
                <w:sz w:val="26"/>
                <w:szCs w:val="26"/>
                <w:lang w:val="en-US"/>
              </w:rPr>
              <w:t>40</w:t>
            </w:r>
            <w:r w:rsidRPr="008C30F1">
              <w:rPr>
                <w:rFonts w:ascii="Times New Roman" w:hAnsi="Times New Roman"/>
                <w:sz w:val="26"/>
                <w:szCs w:val="26"/>
              </w:rPr>
              <w:t>/BC-</w:t>
            </w:r>
            <w:r w:rsidR="000C7656" w:rsidRPr="008C30F1">
              <w:rPr>
                <w:rFonts w:ascii="Times New Roman" w:hAnsi="Times New Roman"/>
                <w:sz w:val="26"/>
                <w:szCs w:val="26"/>
                <w:lang w:val="en-US"/>
              </w:rPr>
              <w:t>ĐGS</w:t>
            </w:r>
          </w:p>
        </w:tc>
        <w:tc>
          <w:tcPr>
            <w:tcW w:w="6366" w:type="dxa"/>
          </w:tcPr>
          <w:p w:rsidR="00A64CC7" w:rsidRPr="008C30F1" w:rsidRDefault="00D560ED" w:rsidP="00A64CC7">
            <w:pPr>
              <w:spacing w:before="120" w:after="120"/>
              <w:jc w:val="center"/>
              <w:rPr>
                <w:rFonts w:ascii="Times New Roman" w:hAnsi="Times New Roman"/>
                <w:b/>
                <w:sz w:val="26"/>
                <w:szCs w:val="26"/>
              </w:rPr>
            </w:pPr>
            <w:r w:rsidRPr="008C30F1">
              <w:rPr>
                <w:rFonts w:ascii="Times New Roman" w:hAnsi="Times New Roman"/>
                <w:i/>
                <w:sz w:val="26"/>
                <w:szCs w:val="26"/>
              </w:rPr>
              <w:t xml:space="preserve">  </w:t>
            </w:r>
            <w:r w:rsidR="00DA2579">
              <w:rPr>
                <w:rFonts w:ascii="Times New Roman" w:hAnsi="Times New Roman"/>
                <w:i/>
                <w:sz w:val="26"/>
                <w:szCs w:val="26"/>
              </w:rPr>
              <w:t xml:space="preserve">Kon Tum, ngày </w:t>
            </w:r>
            <w:r w:rsidR="00DA2579">
              <w:rPr>
                <w:rFonts w:ascii="Times New Roman" w:hAnsi="Times New Roman"/>
                <w:i/>
                <w:sz w:val="26"/>
                <w:szCs w:val="26"/>
                <w:lang w:val="en-US"/>
              </w:rPr>
              <w:t>28</w:t>
            </w:r>
            <w:r w:rsidR="00A64CC7" w:rsidRPr="008C30F1">
              <w:rPr>
                <w:rFonts w:ascii="Times New Roman" w:hAnsi="Times New Roman"/>
                <w:i/>
                <w:sz w:val="26"/>
                <w:szCs w:val="26"/>
                <w:lang w:val="en-US"/>
              </w:rPr>
              <w:t xml:space="preserve"> </w:t>
            </w:r>
            <w:r w:rsidR="00DA2579">
              <w:rPr>
                <w:rFonts w:ascii="Times New Roman" w:hAnsi="Times New Roman"/>
                <w:i/>
                <w:sz w:val="26"/>
                <w:szCs w:val="26"/>
              </w:rPr>
              <w:t>tháng</w:t>
            </w:r>
            <w:r w:rsidR="00DA2579">
              <w:rPr>
                <w:rFonts w:ascii="Times New Roman" w:hAnsi="Times New Roman"/>
                <w:i/>
                <w:sz w:val="26"/>
                <w:szCs w:val="26"/>
                <w:lang w:val="en-US"/>
              </w:rPr>
              <w:t xml:space="preserve"> 11</w:t>
            </w:r>
            <w:r w:rsidR="00A64CC7" w:rsidRPr="008C30F1">
              <w:rPr>
                <w:rFonts w:ascii="Times New Roman" w:hAnsi="Times New Roman"/>
                <w:i/>
                <w:sz w:val="26"/>
                <w:szCs w:val="26"/>
              </w:rPr>
              <w:t xml:space="preserve"> năm </w:t>
            </w:r>
            <w:r w:rsidR="00DA2579">
              <w:rPr>
                <w:rFonts w:ascii="Times New Roman" w:hAnsi="Times New Roman"/>
                <w:i/>
                <w:sz w:val="26"/>
                <w:szCs w:val="26"/>
                <w:lang w:val="en-US"/>
              </w:rPr>
              <w:t>2022</w:t>
            </w:r>
            <w:r w:rsidR="00A64CC7" w:rsidRPr="008C30F1">
              <w:rPr>
                <w:rFonts w:ascii="Times New Roman" w:hAnsi="Times New Roman"/>
                <w:i/>
                <w:sz w:val="26"/>
                <w:szCs w:val="26"/>
              </w:rPr>
              <w:t xml:space="preserve">    </w:t>
            </w:r>
          </w:p>
        </w:tc>
      </w:tr>
    </w:tbl>
    <w:p w:rsidR="00A64CC7" w:rsidRPr="008C30F1" w:rsidRDefault="00A64CC7" w:rsidP="00A64CC7">
      <w:pPr>
        <w:jc w:val="center"/>
        <w:rPr>
          <w:rFonts w:ascii="Times New Roman" w:hAnsi="Times New Roman"/>
          <w:b/>
        </w:rPr>
      </w:pPr>
    </w:p>
    <w:p w:rsidR="00A64CC7" w:rsidRPr="008C30F1" w:rsidRDefault="00A64CC7" w:rsidP="00D16E87">
      <w:pPr>
        <w:spacing w:after="0" w:line="240" w:lineRule="auto"/>
        <w:jc w:val="center"/>
        <w:rPr>
          <w:rFonts w:ascii="Times New Roman" w:hAnsi="Times New Roman"/>
          <w:b/>
          <w:sz w:val="28"/>
          <w:szCs w:val="28"/>
        </w:rPr>
      </w:pPr>
      <w:r w:rsidRPr="008C30F1">
        <w:rPr>
          <w:rFonts w:ascii="Times New Roman" w:hAnsi="Times New Roman"/>
          <w:b/>
          <w:sz w:val="28"/>
          <w:szCs w:val="28"/>
        </w:rPr>
        <w:t>BÁO CÁO</w:t>
      </w:r>
    </w:p>
    <w:p w:rsidR="003B4A54" w:rsidRPr="008C30F1" w:rsidRDefault="00A64CC7" w:rsidP="00F643CC">
      <w:pPr>
        <w:spacing w:after="0" w:line="240" w:lineRule="auto"/>
        <w:jc w:val="center"/>
        <w:rPr>
          <w:rFonts w:ascii="Times New Roman" w:hAnsi="Times New Roman"/>
          <w:b/>
          <w:sz w:val="28"/>
          <w:szCs w:val="28"/>
          <w:lang w:val="nl-NL"/>
        </w:rPr>
      </w:pPr>
      <w:bookmarkStart w:id="0" w:name="_Hlk116142300"/>
      <w:r w:rsidRPr="008C30F1">
        <w:rPr>
          <w:rFonts w:ascii="Times New Roman" w:hAnsi="Times New Roman"/>
          <w:b/>
          <w:sz w:val="28"/>
          <w:szCs w:val="28"/>
        </w:rPr>
        <w:t xml:space="preserve">Kết quả giám sát </w:t>
      </w:r>
      <w:bookmarkStart w:id="1" w:name="_Hlk116128534"/>
      <w:r w:rsidR="003B4A54" w:rsidRPr="008C30F1">
        <w:rPr>
          <w:rFonts w:ascii="Times New Roman" w:hAnsi="Times New Roman"/>
          <w:b/>
          <w:sz w:val="28"/>
          <w:szCs w:val="28"/>
          <w:lang w:val="nl-NL"/>
        </w:rPr>
        <w:t xml:space="preserve">tình hình triển khai </w:t>
      </w:r>
      <w:bookmarkStart w:id="2" w:name="_Hlk116130171"/>
      <w:r w:rsidR="003B4A54" w:rsidRPr="008C30F1">
        <w:rPr>
          <w:rFonts w:ascii="Times New Roman" w:hAnsi="Times New Roman"/>
          <w:b/>
          <w:sz w:val="28"/>
          <w:szCs w:val="28"/>
          <w:lang w:val="nl-NL"/>
        </w:rPr>
        <w:t xml:space="preserve">thực hiện </w:t>
      </w:r>
      <w:bookmarkStart w:id="3" w:name="_Hlk116135734"/>
      <w:r w:rsidR="003B4A54" w:rsidRPr="008C30F1">
        <w:rPr>
          <w:rFonts w:ascii="Times New Roman" w:hAnsi="Times New Roman"/>
          <w:b/>
          <w:sz w:val="28"/>
          <w:szCs w:val="28"/>
          <w:lang w:val="nl-NL"/>
        </w:rPr>
        <w:t>Nghị quyết số 67/2019/NQ-HĐND</w:t>
      </w:r>
      <w:bookmarkEnd w:id="2"/>
      <w:r w:rsidR="003B4A54" w:rsidRPr="008C30F1">
        <w:rPr>
          <w:rFonts w:ascii="Times New Roman" w:hAnsi="Times New Roman"/>
          <w:b/>
          <w:sz w:val="28"/>
          <w:szCs w:val="28"/>
          <w:lang w:val="nl-NL"/>
        </w:rPr>
        <w:t xml:space="preserve"> </w:t>
      </w:r>
      <w:bookmarkEnd w:id="3"/>
      <w:r w:rsidR="003B4A54" w:rsidRPr="008C30F1">
        <w:rPr>
          <w:rFonts w:ascii="Times New Roman" w:hAnsi="Times New Roman"/>
          <w:b/>
          <w:sz w:val="28"/>
          <w:szCs w:val="28"/>
          <w:lang w:val="nl-NL"/>
        </w:rPr>
        <w:t>ngày 30 tháng 12 năm 2019 của Hội đồng nhân dân tỉnh về thông qua Đề án cho vay tiêu dùng từ nguồn vốn ngân sách địa phương ủy thác sang Ngân hàng Chính sách xã hội, góp phần ngăn chặn, đẩy lùi hoạt động</w:t>
      </w:r>
    </w:p>
    <w:p w:rsidR="00A64CC7" w:rsidRPr="008C30F1" w:rsidRDefault="003B4A54" w:rsidP="00F643CC">
      <w:pPr>
        <w:spacing w:after="0" w:line="240" w:lineRule="auto"/>
        <w:jc w:val="center"/>
        <w:rPr>
          <w:rFonts w:ascii="Times New Roman" w:hAnsi="Times New Roman"/>
          <w:b/>
          <w:iCs/>
          <w:sz w:val="28"/>
          <w:szCs w:val="28"/>
          <w:lang w:val="de-DE"/>
        </w:rPr>
      </w:pPr>
      <w:r w:rsidRPr="008C30F1">
        <w:rPr>
          <w:rFonts w:ascii="Times New Roman" w:hAnsi="Times New Roman"/>
          <w:b/>
          <w:sz w:val="28"/>
          <w:szCs w:val="28"/>
          <w:lang w:val="nl-NL"/>
        </w:rPr>
        <w:t>“tín dụng đen” trên địa bàn tỉnh Kon Tum</w:t>
      </w:r>
      <w:bookmarkEnd w:id="0"/>
      <w:bookmarkEnd w:id="1"/>
    </w:p>
    <w:p w:rsidR="0078269B" w:rsidRPr="008C30F1" w:rsidRDefault="009C20E3" w:rsidP="003B4A54">
      <w:pPr>
        <w:spacing w:before="120" w:after="120" w:line="240" w:lineRule="auto"/>
        <w:ind w:firstLine="709"/>
        <w:jc w:val="both"/>
        <w:rPr>
          <w:rFonts w:ascii="Times New Roman" w:hAnsi="Times New Roman"/>
          <w:sz w:val="28"/>
          <w:szCs w:val="28"/>
          <w:lang w:val="nl-NL"/>
        </w:rPr>
      </w:pPr>
      <w:r w:rsidRPr="008C30F1">
        <w:rPr>
          <w:noProof/>
          <w:lang w:val="en-US"/>
        </w:rPr>
        <mc:AlternateContent>
          <mc:Choice Requires="wps">
            <w:drawing>
              <wp:anchor distT="4294967290" distB="4294967290" distL="114300" distR="114300" simplePos="0" relativeHeight="251656704" behindDoc="0" locked="0" layoutInCell="1" allowOverlap="1" wp14:anchorId="73C5C411" wp14:editId="04FFB72A">
                <wp:simplePos x="0" y="0"/>
                <wp:positionH relativeFrom="column">
                  <wp:posOffset>2513965</wp:posOffset>
                </wp:positionH>
                <wp:positionV relativeFrom="paragraph">
                  <wp:posOffset>100329</wp:posOffset>
                </wp:positionV>
                <wp:extent cx="711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EA0240" id="Straight Connector 1" o:spid="_x0000_s1026" style="position:absolute;z-index:251656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97.95pt,7.9pt" to="25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"/>
            </w:pict>
          </mc:Fallback>
        </mc:AlternateContent>
      </w:r>
    </w:p>
    <w:p w:rsidR="00A64CC7" w:rsidRPr="008C30F1" w:rsidRDefault="00A64CC7" w:rsidP="008C30F1">
      <w:pPr>
        <w:spacing w:after="120" w:line="288" w:lineRule="auto"/>
        <w:ind w:firstLine="720"/>
        <w:jc w:val="both"/>
        <w:rPr>
          <w:rFonts w:ascii="Times New Roman" w:hAnsi="Times New Roman"/>
          <w:sz w:val="28"/>
          <w:szCs w:val="28"/>
          <w:lang w:val="nl-NL"/>
        </w:rPr>
      </w:pPr>
      <w:r w:rsidRPr="008C30F1">
        <w:rPr>
          <w:rFonts w:ascii="Times New Roman" w:hAnsi="Times New Roman"/>
          <w:sz w:val="28"/>
          <w:szCs w:val="28"/>
          <w:lang w:val="nl-NL"/>
        </w:rPr>
        <w:t xml:space="preserve">Thực hiện </w:t>
      </w:r>
      <w:r w:rsidR="003B4A54" w:rsidRPr="008C30F1">
        <w:rPr>
          <w:rFonts w:ascii="Times New Roman" w:hAnsi="Times New Roman"/>
          <w:sz w:val="28"/>
          <w:szCs w:val="28"/>
          <w:lang w:val="nl-NL"/>
        </w:rPr>
        <w:t>Nghị quyết số 19/NQ-HĐND ngày 05/7/2021 của Hội đồng nhân dân tỉnh về chương trình giám sát của Hội đồng nhân dân tỉnh năm 2022</w:t>
      </w:r>
      <w:r w:rsidR="00D560ED" w:rsidRPr="008C30F1">
        <w:rPr>
          <w:rFonts w:ascii="Times New Roman" w:hAnsi="Times New Roman"/>
          <w:sz w:val="28"/>
          <w:szCs w:val="28"/>
          <w:lang w:val="nl-NL"/>
        </w:rPr>
        <w:t>;</w:t>
      </w:r>
      <w:r w:rsidR="0031113E" w:rsidRPr="008C30F1">
        <w:rPr>
          <w:rFonts w:ascii="Times New Roman" w:hAnsi="Times New Roman"/>
          <w:sz w:val="28"/>
          <w:szCs w:val="28"/>
          <w:lang w:val="nl-NL"/>
        </w:rPr>
        <w:t xml:space="preserve"> Nghị quyết số 84/NQ-HĐND ngày 14 tháng 12 năm 2021 của Hội đồng nhân dân tỉnh thành lập Đoàn giám sát tình hình triển khai thực hiện Nghị quyết số 67/2019/NQ-HĐND ngày 30 tháng 12 năm 2019 của Hội đồng nhân dân tỉnh về thông qua Đề án cho vay tiêu dùng từ nguồn vốn ngân sách địa phương ủy thác sang Ngân hàng Chính sách xã hội, góp phần ngăn chặn, đẩy lùi hoạt động “tín dụng đen” trên địa bàn tỉnh Kon Tum (Nghị quyết số 67/2019/NQ-HĐND)</w:t>
      </w:r>
      <w:r w:rsidR="00940AEA" w:rsidRPr="008C30F1">
        <w:rPr>
          <w:rFonts w:ascii="Times New Roman" w:hAnsi="Times New Roman"/>
          <w:sz w:val="28"/>
          <w:szCs w:val="28"/>
          <w:lang w:val="nl-NL"/>
        </w:rPr>
        <w:t>, Đoàn giám sát đã xây dựng kế hoạch</w:t>
      </w:r>
      <w:r w:rsidR="00940AEA" w:rsidRPr="008C30F1">
        <w:rPr>
          <w:rFonts w:ascii="Times New Roman" w:hAnsi="Times New Roman"/>
          <w:sz w:val="28"/>
          <w:szCs w:val="28"/>
          <w:vertAlign w:val="superscript"/>
          <w:lang w:val="nl-NL"/>
        </w:rPr>
        <w:t>(</w:t>
      </w:r>
      <w:r w:rsidR="00940AEA" w:rsidRPr="008C30F1">
        <w:rPr>
          <w:vertAlign w:val="superscript"/>
          <w:lang w:val="nl-NL"/>
        </w:rPr>
        <w:footnoteReference w:id="2"/>
      </w:r>
      <w:r w:rsidR="00940AEA" w:rsidRPr="008C30F1">
        <w:rPr>
          <w:rFonts w:ascii="Times New Roman" w:hAnsi="Times New Roman"/>
          <w:sz w:val="28"/>
          <w:szCs w:val="28"/>
          <w:vertAlign w:val="superscript"/>
          <w:lang w:val="nl-NL"/>
        </w:rPr>
        <w:t>)</w:t>
      </w:r>
      <w:r w:rsidR="00940AEA" w:rsidRPr="008C30F1">
        <w:rPr>
          <w:rFonts w:ascii="Times New Roman" w:hAnsi="Times New Roman"/>
          <w:sz w:val="28"/>
          <w:szCs w:val="28"/>
          <w:lang w:val="nl-NL"/>
        </w:rPr>
        <w:t xml:space="preserve"> và tổ chức giám sát tại một số địa phương, đơn vị.</w:t>
      </w:r>
      <w:r w:rsidR="0031113E" w:rsidRPr="008C30F1">
        <w:rPr>
          <w:rFonts w:ascii="Times New Roman" w:hAnsi="Times New Roman"/>
          <w:sz w:val="28"/>
          <w:szCs w:val="28"/>
          <w:lang w:val="nl-NL"/>
        </w:rPr>
        <w:t xml:space="preserve"> </w:t>
      </w:r>
      <w:r w:rsidR="00F643CC" w:rsidRPr="008C30F1">
        <w:rPr>
          <w:rFonts w:ascii="Times New Roman" w:hAnsi="Times New Roman"/>
          <w:sz w:val="28"/>
          <w:szCs w:val="28"/>
          <w:lang w:val="nl-NL"/>
        </w:rPr>
        <w:t>Qua xem xét báo cáo của U</w:t>
      </w:r>
      <w:r w:rsidR="003E4462" w:rsidRPr="008C30F1">
        <w:rPr>
          <w:rFonts w:ascii="Times New Roman" w:hAnsi="Times New Roman"/>
          <w:sz w:val="28"/>
          <w:szCs w:val="28"/>
          <w:lang w:val="nl-NL"/>
        </w:rPr>
        <w:t>ỷ ban nhân dân</w:t>
      </w:r>
      <w:r w:rsidR="00F643CC" w:rsidRPr="008C30F1">
        <w:rPr>
          <w:rFonts w:ascii="Times New Roman" w:hAnsi="Times New Roman"/>
          <w:sz w:val="28"/>
          <w:szCs w:val="28"/>
          <w:lang w:val="nl-NL"/>
        </w:rPr>
        <w:t xml:space="preserve"> tỉ</w:t>
      </w:r>
      <w:r w:rsidR="0006715B" w:rsidRPr="008C30F1">
        <w:rPr>
          <w:rFonts w:ascii="Times New Roman" w:hAnsi="Times New Roman"/>
          <w:sz w:val="28"/>
          <w:szCs w:val="28"/>
          <w:lang w:val="nl-NL"/>
        </w:rPr>
        <w:t xml:space="preserve">nh, </w:t>
      </w:r>
      <w:r w:rsidR="00F643CC" w:rsidRPr="008C30F1">
        <w:rPr>
          <w:rFonts w:ascii="Times New Roman" w:hAnsi="Times New Roman"/>
          <w:sz w:val="28"/>
          <w:szCs w:val="28"/>
          <w:lang w:val="nl-NL"/>
        </w:rPr>
        <w:t xml:space="preserve">Ban đại diện </w:t>
      </w:r>
      <w:r w:rsidR="003E4462" w:rsidRPr="008C30F1">
        <w:rPr>
          <w:rFonts w:ascii="Times New Roman" w:hAnsi="Times New Roman"/>
          <w:sz w:val="28"/>
          <w:szCs w:val="28"/>
          <w:lang w:val="nl-NL"/>
        </w:rPr>
        <w:t>Hội đồng quản trị Ngân hàng chính sách xã hội (</w:t>
      </w:r>
      <w:r w:rsidR="00F643CC" w:rsidRPr="008C30F1">
        <w:rPr>
          <w:rFonts w:ascii="Times New Roman" w:hAnsi="Times New Roman"/>
          <w:sz w:val="28"/>
          <w:szCs w:val="28"/>
          <w:lang w:val="nl-NL"/>
        </w:rPr>
        <w:t>HĐQT NHCSXH</w:t>
      </w:r>
      <w:r w:rsidR="003E4462" w:rsidRPr="008C30F1">
        <w:rPr>
          <w:rFonts w:ascii="Times New Roman" w:hAnsi="Times New Roman"/>
          <w:sz w:val="28"/>
          <w:szCs w:val="28"/>
          <w:lang w:val="nl-NL"/>
        </w:rPr>
        <w:t>) của</w:t>
      </w:r>
      <w:r w:rsidR="00F643CC" w:rsidRPr="008C30F1">
        <w:rPr>
          <w:rFonts w:ascii="Times New Roman" w:hAnsi="Times New Roman"/>
          <w:sz w:val="28"/>
          <w:szCs w:val="28"/>
          <w:lang w:val="nl-NL"/>
        </w:rPr>
        <w:t xml:space="preserve"> 10 đơn vị huyện, thành phố</w:t>
      </w:r>
      <w:r w:rsidR="001B33FF" w:rsidRPr="008C30F1">
        <w:rPr>
          <w:rFonts w:ascii="Times New Roman" w:hAnsi="Times New Roman"/>
          <w:sz w:val="28"/>
          <w:szCs w:val="28"/>
          <w:lang w:val="nl-NL"/>
        </w:rPr>
        <w:t xml:space="preserve"> và</w:t>
      </w:r>
      <w:r w:rsidR="00F643CC" w:rsidRPr="008C30F1">
        <w:rPr>
          <w:rFonts w:ascii="Times New Roman" w:hAnsi="Times New Roman"/>
          <w:sz w:val="28"/>
          <w:szCs w:val="28"/>
          <w:lang w:val="nl-NL"/>
        </w:rPr>
        <w:t xml:space="preserve"> làm việc trực tiếp với NHCSXH chi nhánh tỉnh Kon Tum, Ban đại diện HĐQT NHCSXH</w:t>
      </w:r>
      <w:r w:rsidRPr="008C30F1">
        <w:rPr>
          <w:rFonts w:ascii="Times New Roman" w:hAnsi="Times New Roman"/>
          <w:sz w:val="28"/>
          <w:szCs w:val="28"/>
          <w:lang w:val="nl-NL"/>
        </w:rPr>
        <w:t xml:space="preserve"> </w:t>
      </w:r>
      <w:r w:rsidR="00940AEA" w:rsidRPr="008C30F1">
        <w:rPr>
          <w:rFonts w:ascii="Times New Roman" w:hAnsi="Times New Roman"/>
          <w:sz w:val="28"/>
          <w:szCs w:val="28"/>
          <w:lang w:val="nl-NL"/>
        </w:rPr>
        <w:t xml:space="preserve">4 </w:t>
      </w:r>
      <w:r w:rsidRPr="008C30F1">
        <w:rPr>
          <w:rFonts w:ascii="Times New Roman" w:hAnsi="Times New Roman"/>
          <w:sz w:val="28"/>
          <w:szCs w:val="28"/>
          <w:lang w:val="nl-NL"/>
        </w:rPr>
        <w:t>huyện, thành phố</w:t>
      </w:r>
      <w:r w:rsidR="00940AEA" w:rsidRPr="008C30F1">
        <w:rPr>
          <w:rFonts w:ascii="Times New Roman" w:hAnsi="Times New Roman"/>
          <w:sz w:val="28"/>
          <w:szCs w:val="28"/>
          <w:vertAlign w:val="superscript"/>
          <w:lang w:val="nl-NL"/>
        </w:rPr>
        <w:t>(</w:t>
      </w:r>
      <w:r w:rsidR="00940AEA" w:rsidRPr="008C30F1">
        <w:rPr>
          <w:vertAlign w:val="superscript"/>
          <w:lang w:val="nl-NL"/>
        </w:rPr>
        <w:footnoteReference w:id="3"/>
      </w:r>
      <w:r w:rsidR="00940AEA" w:rsidRPr="008C30F1">
        <w:rPr>
          <w:rFonts w:ascii="Times New Roman" w:hAnsi="Times New Roman"/>
          <w:sz w:val="28"/>
          <w:szCs w:val="28"/>
          <w:vertAlign w:val="superscript"/>
          <w:lang w:val="nl-NL"/>
        </w:rPr>
        <w:t>)</w:t>
      </w:r>
      <w:r w:rsidR="001B33FF" w:rsidRPr="008C30F1">
        <w:rPr>
          <w:rFonts w:ascii="Times New Roman" w:hAnsi="Times New Roman"/>
          <w:sz w:val="28"/>
          <w:szCs w:val="28"/>
          <w:lang w:val="nl-NL"/>
        </w:rPr>
        <w:t>,</w:t>
      </w:r>
      <w:r w:rsidR="000B796E" w:rsidRPr="008C30F1">
        <w:rPr>
          <w:rFonts w:ascii="Times New Roman" w:hAnsi="Times New Roman"/>
          <w:sz w:val="28"/>
          <w:szCs w:val="28"/>
          <w:lang w:val="nl-NL"/>
        </w:rPr>
        <w:t xml:space="preserve"> </w:t>
      </w:r>
      <w:r w:rsidR="003E4462" w:rsidRPr="008C30F1">
        <w:rPr>
          <w:rFonts w:ascii="Times New Roman" w:hAnsi="Times New Roman"/>
          <w:sz w:val="28"/>
          <w:szCs w:val="28"/>
          <w:lang w:val="nl-NL"/>
        </w:rPr>
        <w:t>Uỷ ban nhân dân (U</w:t>
      </w:r>
      <w:r w:rsidR="00940AEA" w:rsidRPr="008C30F1">
        <w:rPr>
          <w:rFonts w:ascii="Times New Roman" w:hAnsi="Times New Roman"/>
          <w:sz w:val="28"/>
          <w:szCs w:val="28"/>
          <w:lang w:val="nl-NL"/>
        </w:rPr>
        <w:t>BND</w:t>
      </w:r>
      <w:r w:rsidR="003E4462" w:rsidRPr="008C30F1">
        <w:rPr>
          <w:rFonts w:ascii="Times New Roman" w:hAnsi="Times New Roman"/>
          <w:sz w:val="28"/>
          <w:szCs w:val="28"/>
          <w:lang w:val="nl-NL"/>
        </w:rPr>
        <w:t>)</w:t>
      </w:r>
      <w:r w:rsidR="00940AEA" w:rsidRPr="008C30F1">
        <w:rPr>
          <w:rFonts w:ascii="Times New Roman" w:hAnsi="Times New Roman"/>
          <w:sz w:val="28"/>
          <w:szCs w:val="28"/>
          <w:lang w:val="nl-NL"/>
        </w:rPr>
        <w:t xml:space="preserve"> </w:t>
      </w:r>
      <w:r w:rsidR="000B796E" w:rsidRPr="008C30F1">
        <w:rPr>
          <w:rFonts w:ascii="Times New Roman" w:hAnsi="Times New Roman"/>
          <w:sz w:val="28"/>
          <w:szCs w:val="28"/>
          <w:lang w:val="nl-NL"/>
        </w:rPr>
        <w:t xml:space="preserve">các </w:t>
      </w:r>
      <w:r w:rsidR="0078269B" w:rsidRPr="008C30F1">
        <w:rPr>
          <w:rFonts w:ascii="Times New Roman" w:hAnsi="Times New Roman"/>
          <w:sz w:val="28"/>
          <w:szCs w:val="28"/>
          <w:lang w:val="nl-NL"/>
        </w:rPr>
        <w:t>xã, ph</w:t>
      </w:r>
      <w:r w:rsidR="00702DDE" w:rsidRPr="008C30F1">
        <w:rPr>
          <w:rFonts w:ascii="Times New Roman" w:hAnsi="Times New Roman"/>
          <w:sz w:val="28"/>
          <w:szCs w:val="28"/>
          <w:lang w:val="nl-NL"/>
        </w:rPr>
        <w:t>ườ</w:t>
      </w:r>
      <w:r w:rsidR="0078269B" w:rsidRPr="008C30F1">
        <w:rPr>
          <w:rFonts w:ascii="Times New Roman" w:hAnsi="Times New Roman"/>
          <w:sz w:val="28"/>
          <w:szCs w:val="28"/>
          <w:lang w:val="nl-NL"/>
        </w:rPr>
        <w:t>ng, trị trấn</w:t>
      </w:r>
      <w:r w:rsidRPr="008C30F1">
        <w:rPr>
          <w:rFonts w:ascii="Times New Roman" w:hAnsi="Times New Roman"/>
          <w:sz w:val="28"/>
          <w:szCs w:val="28"/>
          <w:vertAlign w:val="superscript"/>
          <w:lang w:val="nl-NL"/>
        </w:rPr>
        <w:t>(</w:t>
      </w:r>
      <w:r w:rsidRPr="008C30F1">
        <w:rPr>
          <w:vertAlign w:val="superscript"/>
          <w:lang w:val="nl-NL"/>
        </w:rPr>
        <w:footnoteReference w:id="4"/>
      </w:r>
      <w:r w:rsidRPr="008C30F1">
        <w:rPr>
          <w:rFonts w:ascii="Times New Roman" w:hAnsi="Times New Roman"/>
          <w:sz w:val="28"/>
          <w:szCs w:val="28"/>
          <w:vertAlign w:val="superscript"/>
          <w:lang w:val="nl-NL"/>
        </w:rPr>
        <w:t>)</w:t>
      </w:r>
      <w:r w:rsidR="00F643CC" w:rsidRPr="008C30F1">
        <w:rPr>
          <w:rFonts w:ascii="Times New Roman" w:hAnsi="Times New Roman"/>
          <w:sz w:val="28"/>
          <w:szCs w:val="28"/>
          <w:lang w:val="nl-NL"/>
        </w:rPr>
        <w:t xml:space="preserve">, </w:t>
      </w:r>
      <w:r w:rsidR="00940AEA" w:rsidRPr="008C30F1">
        <w:rPr>
          <w:rFonts w:ascii="Times New Roman" w:hAnsi="Times New Roman"/>
          <w:sz w:val="28"/>
          <w:szCs w:val="28"/>
          <w:lang w:val="nl-NL"/>
        </w:rPr>
        <w:t xml:space="preserve">Đoàn giám sát </w:t>
      </w:r>
      <w:r w:rsidR="00463EE4" w:rsidRPr="008C30F1">
        <w:rPr>
          <w:rFonts w:ascii="Times New Roman" w:hAnsi="Times New Roman"/>
          <w:sz w:val="28"/>
          <w:szCs w:val="28"/>
          <w:lang w:val="nl-NL"/>
        </w:rPr>
        <w:t xml:space="preserve">của </w:t>
      </w:r>
      <w:r w:rsidR="00F703B0" w:rsidRPr="008C30F1">
        <w:rPr>
          <w:rFonts w:ascii="Times New Roman" w:hAnsi="Times New Roman"/>
          <w:sz w:val="28"/>
          <w:szCs w:val="28"/>
          <w:lang w:val="nl-NL"/>
        </w:rPr>
        <w:t>HĐND tỉnh</w:t>
      </w:r>
      <w:r w:rsidRPr="008C30F1">
        <w:rPr>
          <w:rFonts w:ascii="Times New Roman" w:hAnsi="Times New Roman"/>
          <w:sz w:val="28"/>
          <w:szCs w:val="28"/>
          <w:lang w:val="nl-NL"/>
        </w:rPr>
        <w:t xml:space="preserve"> báo cáo kết quả giám sát cụ thể như sau:</w:t>
      </w:r>
    </w:p>
    <w:p w:rsidR="000653A2" w:rsidRPr="008C30F1" w:rsidRDefault="000653A2" w:rsidP="008C30F1">
      <w:pPr>
        <w:spacing w:after="120" w:line="288" w:lineRule="auto"/>
        <w:ind w:firstLine="709"/>
        <w:jc w:val="both"/>
        <w:rPr>
          <w:rFonts w:ascii="Times New Roman" w:hAnsi="Times New Roman"/>
          <w:b/>
          <w:sz w:val="28"/>
          <w:szCs w:val="28"/>
          <w:lang w:val="nl-NL"/>
        </w:rPr>
      </w:pPr>
      <w:r w:rsidRPr="008C30F1">
        <w:rPr>
          <w:rFonts w:ascii="Times New Roman" w:hAnsi="Times New Roman"/>
          <w:b/>
          <w:sz w:val="28"/>
          <w:szCs w:val="28"/>
          <w:lang w:val="nl-NL"/>
        </w:rPr>
        <w:t xml:space="preserve">I. </w:t>
      </w:r>
      <w:r w:rsidR="009E3147" w:rsidRPr="008C30F1">
        <w:rPr>
          <w:rFonts w:ascii="Times New Roman" w:hAnsi="Times New Roman"/>
          <w:b/>
          <w:sz w:val="28"/>
          <w:szCs w:val="28"/>
          <w:lang w:val="nl-NL"/>
        </w:rPr>
        <w:t>Kết quả thực hiện</w:t>
      </w:r>
    </w:p>
    <w:p w:rsidR="0046060F" w:rsidRPr="008C30F1" w:rsidRDefault="005515FA" w:rsidP="008C30F1">
      <w:pPr>
        <w:spacing w:after="120" w:line="288" w:lineRule="auto"/>
        <w:ind w:firstLine="720"/>
        <w:jc w:val="both"/>
        <w:rPr>
          <w:rFonts w:ascii="Times New Roman" w:hAnsi="Times New Roman"/>
          <w:sz w:val="28"/>
          <w:szCs w:val="28"/>
          <w:lang w:val="nl-NL"/>
        </w:rPr>
      </w:pPr>
      <w:r w:rsidRPr="008C30F1">
        <w:rPr>
          <w:rFonts w:ascii="Times New Roman" w:hAnsi="Times New Roman"/>
          <w:b/>
          <w:sz w:val="28"/>
          <w:szCs w:val="28"/>
          <w:lang w:val="nl-NL"/>
        </w:rPr>
        <w:t>1. Công tác lãnh đạo, chỉ đạo và điều hành:</w:t>
      </w:r>
      <w:r w:rsidRPr="008C30F1">
        <w:rPr>
          <w:rFonts w:ascii="Times New Roman" w:hAnsi="Times New Roman"/>
          <w:sz w:val="28"/>
          <w:szCs w:val="28"/>
          <w:lang w:val="nl-NL"/>
        </w:rPr>
        <w:t xml:space="preserve"> </w:t>
      </w:r>
    </w:p>
    <w:p w:rsidR="0046060F" w:rsidRPr="008C30F1" w:rsidRDefault="00186D4A" w:rsidP="008C30F1">
      <w:pPr>
        <w:spacing w:after="120" w:line="288" w:lineRule="auto"/>
        <w:ind w:firstLine="720"/>
        <w:jc w:val="both"/>
        <w:rPr>
          <w:rFonts w:ascii="Times New Roman" w:hAnsi="Times New Roman"/>
          <w:sz w:val="28"/>
          <w:szCs w:val="28"/>
          <w:lang w:val="nl-NL"/>
        </w:rPr>
      </w:pPr>
      <w:r w:rsidRPr="008C30F1">
        <w:rPr>
          <w:rFonts w:ascii="Times New Roman" w:hAnsi="Times New Roman"/>
          <w:sz w:val="28"/>
          <w:szCs w:val="28"/>
          <w:lang w:val="nl-NL"/>
        </w:rPr>
        <w:lastRenderedPageBreak/>
        <w:t xml:space="preserve">Cấp tỉnh: </w:t>
      </w:r>
      <w:r w:rsidR="004165DF" w:rsidRPr="008C30F1">
        <w:rPr>
          <w:rFonts w:ascii="Times New Roman" w:hAnsi="Times New Roman"/>
          <w:sz w:val="28"/>
          <w:szCs w:val="28"/>
          <w:lang w:val="nl-NL"/>
        </w:rPr>
        <w:t>T</w:t>
      </w:r>
      <w:r w:rsidR="0046060F" w:rsidRPr="008C30F1">
        <w:rPr>
          <w:rFonts w:ascii="Times New Roman" w:hAnsi="Times New Roman"/>
          <w:sz w:val="28"/>
          <w:szCs w:val="28"/>
          <w:lang w:val="nl-NL"/>
        </w:rPr>
        <w:t>hực hiện</w:t>
      </w:r>
      <w:r w:rsidR="004165DF" w:rsidRPr="008C30F1">
        <w:rPr>
          <w:rFonts w:ascii="Times New Roman" w:hAnsi="Times New Roman"/>
          <w:sz w:val="28"/>
          <w:szCs w:val="28"/>
          <w:lang w:val="nl-NL"/>
        </w:rPr>
        <w:t xml:space="preserve"> </w:t>
      </w:r>
      <w:r w:rsidR="003E4462" w:rsidRPr="008C30F1">
        <w:rPr>
          <w:rFonts w:ascii="Times New Roman" w:hAnsi="Times New Roman"/>
          <w:sz w:val="28"/>
          <w:szCs w:val="28"/>
          <w:lang w:val="nl-NL"/>
        </w:rPr>
        <w:t>Nghị quyết số 67/2019/NQ-HĐND, UBND</w:t>
      </w:r>
      <w:r w:rsidR="005515FA" w:rsidRPr="008C30F1">
        <w:rPr>
          <w:rFonts w:ascii="Times New Roman" w:hAnsi="Times New Roman"/>
          <w:sz w:val="28"/>
          <w:szCs w:val="28"/>
          <w:lang w:val="nl-NL"/>
        </w:rPr>
        <w:t xml:space="preserve"> tỉnh ban hành quyết định phê duyệt triển khai Đề án</w:t>
      </w:r>
      <w:r w:rsidR="003E4462" w:rsidRPr="008C30F1">
        <w:rPr>
          <w:rFonts w:ascii="Times New Roman" w:hAnsi="Times New Roman"/>
          <w:sz w:val="28"/>
          <w:szCs w:val="28"/>
          <w:vertAlign w:val="superscript"/>
          <w:lang w:val="nl-NL"/>
        </w:rPr>
        <w:t>(</w:t>
      </w:r>
      <w:r w:rsidR="003E4462" w:rsidRPr="008C30F1">
        <w:rPr>
          <w:rFonts w:ascii="Times New Roman" w:hAnsi="Times New Roman"/>
          <w:sz w:val="28"/>
          <w:szCs w:val="28"/>
          <w:vertAlign w:val="superscript"/>
          <w:lang w:val="nl-NL"/>
        </w:rPr>
        <w:footnoteReference w:id="5"/>
      </w:r>
      <w:r w:rsidR="003E4462" w:rsidRPr="008C30F1">
        <w:rPr>
          <w:rFonts w:ascii="Times New Roman" w:hAnsi="Times New Roman"/>
          <w:sz w:val="28"/>
          <w:szCs w:val="28"/>
          <w:vertAlign w:val="superscript"/>
          <w:lang w:val="nl-NL"/>
        </w:rPr>
        <w:t>)</w:t>
      </w:r>
      <w:r w:rsidR="00390119" w:rsidRPr="008C30F1">
        <w:rPr>
          <w:rFonts w:ascii="Times New Roman" w:hAnsi="Times New Roman"/>
          <w:sz w:val="28"/>
          <w:szCs w:val="28"/>
          <w:lang w:val="nl-NL"/>
        </w:rPr>
        <w:t xml:space="preserve">, </w:t>
      </w:r>
      <w:r w:rsidR="00C804D8" w:rsidRPr="008C30F1">
        <w:rPr>
          <w:rFonts w:ascii="Times New Roman" w:hAnsi="Times New Roman"/>
          <w:sz w:val="28"/>
          <w:szCs w:val="28"/>
          <w:lang w:val="nl-NL"/>
        </w:rPr>
        <w:t xml:space="preserve">ban hành </w:t>
      </w:r>
      <w:r w:rsidR="00390119" w:rsidRPr="008C30F1">
        <w:rPr>
          <w:rFonts w:ascii="Times New Roman" w:hAnsi="Times New Roman"/>
          <w:spacing w:val="-2"/>
          <w:sz w:val="28"/>
          <w:szCs w:val="28"/>
        </w:rPr>
        <w:t>Quy chế quản lý và sử dụng nguồn vốn ngân sách địa phương ủy thác qua Ngân hàng Chính sách xã hội để cho vay đối với người nghèo và các đối tượng chính sách khác trên địa bàn tỉnh</w:t>
      </w:r>
      <w:r w:rsidR="00C804D8" w:rsidRPr="008C30F1">
        <w:rPr>
          <w:rFonts w:ascii="Times New Roman" w:hAnsi="Times New Roman"/>
          <w:spacing w:val="-2"/>
          <w:sz w:val="28"/>
          <w:szCs w:val="28"/>
          <w:lang w:val="en-US"/>
        </w:rPr>
        <w:t xml:space="preserve">, </w:t>
      </w:r>
      <w:r w:rsidR="00C804D8" w:rsidRPr="008C30F1">
        <w:rPr>
          <w:rFonts w:ascii="Times New Roman" w:hAnsi="Times New Roman"/>
          <w:sz w:val="28"/>
          <w:szCs w:val="28"/>
          <w:lang w:val="nl-NL"/>
        </w:rPr>
        <w:t xml:space="preserve">đồng thời hàng năm tham mưu Hội đồng nhân dân tỉnh cân đối bố trí kinh phí sang NHCSXH để thực hiện cho vay các chương trình, đề án đang triển khai ở NHCSXH, trong đó có cho vay đối tượng theo Đề án </w:t>
      </w:r>
      <w:r w:rsidR="009E0EA8" w:rsidRPr="008C30F1">
        <w:rPr>
          <w:rFonts w:ascii="Times New Roman" w:hAnsi="Times New Roman"/>
          <w:sz w:val="28"/>
          <w:szCs w:val="28"/>
          <w:lang w:val="nl-NL"/>
        </w:rPr>
        <w:t>cho vay tiêu dùng từ nguồn vốn ngân sách địa phương ủy thác sang Ngân hàng Chính sách xã hội, góp phần ngăn chặn, đẩy lùi hoạt động “tín dụng đen” trên địa bàn tỉnh Kon Tum</w:t>
      </w:r>
      <w:r w:rsidR="00187C03" w:rsidRPr="008C30F1">
        <w:rPr>
          <w:rFonts w:ascii="Times New Roman" w:hAnsi="Times New Roman"/>
          <w:sz w:val="28"/>
          <w:szCs w:val="28"/>
          <w:lang w:val="nl-NL"/>
        </w:rPr>
        <w:t xml:space="preserve"> (Đề án)</w:t>
      </w:r>
      <w:r w:rsidR="00390119" w:rsidRPr="008C30F1">
        <w:rPr>
          <w:rFonts w:ascii="Times New Roman" w:hAnsi="Times New Roman"/>
          <w:spacing w:val="-2"/>
          <w:sz w:val="28"/>
          <w:szCs w:val="28"/>
          <w:lang w:val="en-US"/>
        </w:rPr>
        <w:t xml:space="preserve">. </w:t>
      </w:r>
      <w:r w:rsidR="0046060F" w:rsidRPr="008C30F1">
        <w:rPr>
          <w:rFonts w:ascii="Times New Roman" w:hAnsi="Times New Roman"/>
          <w:spacing w:val="-2"/>
          <w:sz w:val="28"/>
          <w:szCs w:val="28"/>
          <w:lang w:val="en-US"/>
        </w:rPr>
        <w:t xml:space="preserve">Đối với </w:t>
      </w:r>
      <w:r w:rsidR="009E0EA8" w:rsidRPr="008C30F1">
        <w:rPr>
          <w:rFonts w:ascii="Times New Roman" w:hAnsi="Times New Roman"/>
          <w:sz w:val="28"/>
          <w:szCs w:val="28"/>
          <w:lang w:val="nl-NL"/>
        </w:rPr>
        <w:t>NHCSXH chi nhánh</w:t>
      </w:r>
      <w:r w:rsidR="005515FA" w:rsidRPr="008C30F1">
        <w:rPr>
          <w:rFonts w:ascii="Times New Roman" w:hAnsi="Times New Roman"/>
          <w:sz w:val="28"/>
          <w:szCs w:val="28"/>
          <w:lang w:val="nl-NL"/>
        </w:rPr>
        <w:t xml:space="preserve"> </w:t>
      </w:r>
      <w:r w:rsidR="00390119" w:rsidRPr="008C30F1">
        <w:rPr>
          <w:rFonts w:ascii="Times New Roman" w:hAnsi="Times New Roman"/>
          <w:sz w:val="28"/>
          <w:szCs w:val="28"/>
          <w:lang w:val="nl-NL"/>
        </w:rPr>
        <w:t>tỉnh</w:t>
      </w:r>
      <w:r w:rsidR="009E0EA8" w:rsidRPr="008C30F1">
        <w:rPr>
          <w:rFonts w:ascii="Times New Roman" w:hAnsi="Times New Roman"/>
          <w:sz w:val="28"/>
          <w:szCs w:val="28"/>
          <w:lang w:val="nl-NL"/>
        </w:rPr>
        <w:t xml:space="preserve"> Kon Tum</w:t>
      </w:r>
      <w:r w:rsidR="00AF74F7" w:rsidRPr="008C30F1">
        <w:rPr>
          <w:rFonts w:ascii="Times New Roman" w:hAnsi="Times New Roman"/>
          <w:sz w:val="28"/>
          <w:szCs w:val="28"/>
          <w:lang w:val="nl-NL"/>
        </w:rPr>
        <w:t>,</w:t>
      </w:r>
      <w:r w:rsidR="0046060F" w:rsidRPr="008C30F1">
        <w:rPr>
          <w:rFonts w:ascii="Times New Roman" w:hAnsi="Times New Roman"/>
          <w:sz w:val="28"/>
          <w:szCs w:val="28"/>
          <w:lang w:val="nl-NL"/>
        </w:rPr>
        <w:t xml:space="preserve"> trên cơ sở</w:t>
      </w:r>
      <w:r w:rsidR="00AF74F7" w:rsidRPr="008C30F1">
        <w:rPr>
          <w:rFonts w:ascii="Times New Roman" w:hAnsi="Times New Roman"/>
          <w:sz w:val="28"/>
          <w:szCs w:val="28"/>
          <w:lang w:val="nl-NL"/>
        </w:rPr>
        <w:t xml:space="preserve"> </w:t>
      </w:r>
      <w:r w:rsidR="0046060F" w:rsidRPr="008C30F1">
        <w:rPr>
          <w:rFonts w:ascii="Times New Roman" w:hAnsi="Times New Roman"/>
          <w:sz w:val="28"/>
          <w:szCs w:val="28"/>
          <w:lang w:val="nl-NL"/>
        </w:rPr>
        <w:t>nhiệm vụ được phân công</w:t>
      </w:r>
      <w:r w:rsidR="00AF74F7" w:rsidRPr="008C30F1">
        <w:rPr>
          <w:rFonts w:ascii="Times New Roman" w:hAnsi="Times New Roman"/>
          <w:sz w:val="28"/>
          <w:szCs w:val="28"/>
          <w:lang w:val="nl-NL"/>
        </w:rPr>
        <w:t xml:space="preserve"> </w:t>
      </w:r>
      <w:r w:rsidR="00390119" w:rsidRPr="008C30F1">
        <w:rPr>
          <w:rFonts w:ascii="Times New Roman" w:hAnsi="Times New Roman"/>
          <w:sz w:val="28"/>
          <w:szCs w:val="28"/>
          <w:lang w:val="nl-NL"/>
        </w:rPr>
        <w:t xml:space="preserve">tổ chức </w:t>
      </w:r>
      <w:r w:rsidR="005515FA" w:rsidRPr="008C30F1">
        <w:rPr>
          <w:rFonts w:ascii="Times New Roman" w:hAnsi="Times New Roman"/>
          <w:sz w:val="28"/>
          <w:szCs w:val="28"/>
          <w:lang w:val="nl-NL"/>
        </w:rPr>
        <w:t xml:space="preserve">thực hiện hướng dẫn, tập huấn </w:t>
      </w:r>
      <w:r w:rsidR="0046060F" w:rsidRPr="008C30F1">
        <w:rPr>
          <w:rFonts w:ascii="Times New Roman" w:hAnsi="Times New Roman"/>
          <w:sz w:val="28"/>
          <w:szCs w:val="28"/>
          <w:lang w:val="nl-NL"/>
        </w:rPr>
        <w:t>cho cán bộ Phòng giao dịch NHCSXH huyện, thành phố triển khai Đề án như quy định</w:t>
      </w:r>
      <w:r w:rsidR="00AF74F7" w:rsidRPr="008C30F1">
        <w:rPr>
          <w:rFonts w:ascii="Times New Roman" w:hAnsi="Times New Roman"/>
          <w:sz w:val="28"/>
          <w:szCs w:val="28"/>
          <w:lang w:val="nl-NL"/>
        </w:rPr>
        <w:t xml:space="preserve"> các mẫu hồ sơ vay vốn, quản lý việc</w:t>
      </w:r>
      <w:r w:rsidR="0046060F" w:rsidRPr="008C30F1">
        <w:rPr>
          <w:rFonts w:ascii="Times New Roman" w:hAnsi="Times New Roman"/>
          <w:sz w:val="28"/>
          <w:szCs w:val="28"/>
          <w:lang w:val="nl-NL"/>
        </w:rPr>
        <w:t xml:space="preserve"> cho vay và</w:t>
      </w:r>
      <w:r w:rsidR="00AF74F7" w:rsidRPr="008C30F1">
        <w:rPr>
          <w:rFonts w:ascii="Times New Roman" w:hAnsi="Times New Roman"/>
          <w:sz w:val="28"/>
          <w:szCs w:val="28"/>
          <w:lang w:val="nl-NL"/>
        </w:rPr>
        <w:t xml:space="preserve"> sử dụng vốn vay theo quy định</w:t>
      </w:r>
      <w:r w:rsidRPr="008C30F1">
        <w:rPr>
          <w:rFonts w:ascii="Times New Roman" w:hAnsi="Times New Roman"/>
          <w:sz w:val="28"/>
          <w:szCs w:val="28"/>
          <w:lang w:val="nl-NL"/>
        </w:rPr>
        <w:t>, định kỳ tham mưu kết quả việc thực hiện Đề án</w:t>
      </w:r>
      <w:r w:rsidR="001C4667" w:rsidRPr="008C30F1">
        <w:rPr>
          <w:rFonts w:ascii="Times New Roman" w:hAnsi="Times New Roman"/>
          <w:sz w:val="28"/>
          <w:szCs w:val="28"/>
          <w:lang w:val="nl-NL"/>
        </w:rPr>
        <w:t>;</w:t>
      </w:r>
      <w:r w:rsidR="00901EF1" w:rsidRPr="008C30F1">
        <w:rPr>
          <w:rFonts w:ascii="Times New Roman" w:hAnsi="Times New Roman"/>
          <w:sz w:val="28"/>
          <w:szCs w:val="28"/>
          <w:lang w:val="nl-NL"/>
        </w:rPr>
        <w:t xml:space="preserve"> </w:t>
      </w:r>
      <w:r w:rsidR="001C4667" w:rsidRPr="008C30F1">
        <w:rPr>
          <w:rFonts w:ascii="Times New Roman" w:hAnsi="Times New Roman"/>
          <w:sz w:val="28"/>
          <w:szCs w:val="28"/>
          <w:lang w:val="nl-NL"/>
        </w:rPr>
        <w:t>n</w:t>
      </w:r>
      <w:r w:rsidR="005515FA" w:rsidRPr="008C30F1">
        <w:rPr>
          <w:rFonts w:ascii="Times New Roman" w:hAnsi="Times New Roman"/>
          <w:sz w:val="28"/>
          <w:szCs w:val="28"/>
          <w:lang w:val="nl-NL"/>
        </w:rPr>
        <w:t xml:space="preserve">gành Lao động, Thương binh và Xã hội phối hợp </w:t>
      </w:r>
      <w:r w:rsidR="00901EF1" w:rsidRPr="008C30F1">
        <w:rPr>
          <w:rFonts w:ascii="Times New Roman" w:hAnsi="Times New Roman"/>
          <w:sz w:val="28"/>
          <w:szCs w:val="28"/>
          <w:lang w:val="nl-NL"/>
        </w:rPr>
        <w:t xml:space="preserve">chặt chẽ với các ngành có liên quan </w:t>
      </w:r>
      <w:r w:rsidR="005515FA" w:rsidRPr="008C30F1">
        <w:rPr>
          <w:rFonts w:ascii="Times New Roman" w:hAnsi="Times New Roman"/>
          <w:sz w:val="28"/>
          <w:szCs w:val="28"/>
          <w:lang w:val="nl-NL"/>
        </w:rPr>
        <w:t>thực hiện rà soát các đối tượng thụ hưởng làm cơ sở để NHCSXH cho vay</w:t>
      </w:r>
      <w:r w:rsidR="00901EF1" w:rsidRPr="008C30F1">
        <w:rPr>
          <w:rFonts w:ascii="Times New Roman" w:hAnsi="Times New Roman"/>
          <w:sz w:val="28"/>
          <w:szCs w:val="28"/>
          <w:lang w:val="nl-NL"/>
        </w:rPr>
        <w:t xml:space="preserve"> kịp thời</w:t>
      </w:r>
      <w:r w:rsidR="00C804D8" w:rsidRPr="008C30F1">
        <w:rPr>
          <w:rFonts w:ascii="Times New Roman" w:hAnsi="Times New Roman"/>
          <w:sz w:val="28"/>
          <w:szCs w:val="28"/>
          <w:lang w:val="nl-NL"/>
        </w:rPr>
        <w:t>.</w:t>
      </w:r>
    </w:p>
    <w:p w:rsidR="00186D4A" w:rsidRPr="008C30F1" w:rsidRDefault="00186D4A" w:rsidP="008C30F1">
      <w:pPr>
        <w:spacing w:after="120" w:line="288" w:lineRule="auto"/>
        <w:ind w:firstLine="720"/>
        <w:jc w:val="both"/>
        <w:rPr>
          <w:rFonts w:ascii="Times New Roman" w:hAnsi="Times New Roman"/>
          <w:sz w:val="28"/>
          <w:szCs w:val="28"/>
          <w:lang w:val="nl-NL"/>
        </w:rPr>
      </w:pPr>
      <w:r w:rsidRPr="008C30F1">
        <w:rPr>
          <w:rFonts w:ascii="Times New Roman" w:hAnsi="Times New Roman"/>
          <w:sz w:val="28"/>
          <w:szCs w:val="28"/>
          <w:lang w:val="nl-NL"/>
        </w:rPr>
        <w:t xml:space="preserve">Cấp huyện: 10/10 UBND các huyện, thành phố đều ban hành văn bản triển khai Đề án, trong đó chỉ đạo chú trọng công tác tuyên truyền, rà soát đối tượng để chủ động cấp kinh phí uỷ </w:t>
      </w:r>
      <w:r w:rsidR="00C804D8" w:rsidRPr="008C30F1">
        <w:rPr>
          <w:rFonts w:ascii="Times New Roman" w:hAnsi="Times New Roman"/>
          <w:sz w:val="28"/>
          <w:szCs w:val="28"/>
          <w:lang w:val="nl-NL"/>
        </w:rPr>
        <w:t>thác</w:t>
      </w:r>
      <w:r w:rsidRPr="008C30F1">
        <w:rPr>
          <w:rFonts w:ascii="Times New Roman" w:hAnsi="Times New Roman"/>
          <w:sz w:val="28"/>
          <w:szCs w:val="28"/>
          <w:lang w:val="nl-NL"/>
        </w:rPr>
        <w:t xml:space="preserve"> qua NHCSXH thực hiện cho vay đối tượng của Đề án.</w:t>
      </w:r>
    </w:p>
    <w:p w:rsidR="005515FA" w:rsidRPr="008C30F1" w:rsidRDefault="00186D4A" w:rsidP="008C30F1">
      <w:pPr>
        <w:spacing w:after="120" w:line="288" w:lineRule="auto"/>
        <w:ind w:firstLine="720"/>
        <w:jc w:val="both"/>
        <w:rPr>
          <w:rFonts w:ascii="Times New Roman" w:hAnsi="Times New Roman"/>
          <w:sz w:val="28"/>
          <w:szCs w:val="28"/>
          <w:lang w:val="nl-NL"/>
        </w:rPr>
      </w:pPr>
      <w:r w:rsidRPr="008C30F1">
        <w:rPr>
          <w:rFonts w:ascii="Times New Roman" w:hAnsi="Times New Roman"/>
          <w:sz w:val="28"/>
          <w:szCs w:val="28"/>
          <w:lang w:val="nl-NL"/>
        </w:rPr>
        <w:t>Cấp xã</w:t>
      </w:r>
      <w:r w:rsidR="003956F1" w:rsidRPr="008C30F1">
        <w:rPr>
          <w:rFonts w:ascii="Times New Roman" w:hAnsi="Times New Roman"/>
          <w:sz w:val="28"/>
          <w:szCs w:val="28"/>
          <w:lang w:val="nl-NL"/>
        </w:rPr>
        <w:t xml:space="preserve">: chủ động và đa dạng các hình thức tuyên truyền đến nhân dân tại địa phương </w:t>
      </w:r>
      <w:r w:rsidR="003956F1" w:rsidRPr="008C30F1">
        <w:rPr>
          <w:rFonts w:ascii="Times New Roman" w:hAnsi="Times New Roman"/>
          <w:sz w:val="28"/>
          <w:szCs w:val="28"/>
        </w:rPr>
        <w:t>thông qua các buổi họp thôn, làng, tổ dân phố</w:t>
      </w:r>
      <w:r w:rsidR="00C263D4" w:rsidRPr="008C30F1">
        <w:rPr>
          <w:rFonts w:ascii="Times New Roman" w:hAnsi="Times New Roman"/>
          <w:sz w:val="28"/>
          <w:szCs w:val="28"/>
          <w:lang w:val="en-US"/>
        </w:rPr>
        <w:t>, đưa tin, phát tờ rơi...</w:t>
      </w:r>
      <w:r w:rsidR="003956F1" w:rsidRPr="008C30F1">
        <w:rPr>
          <w:rFonts w:ascii="Times New Roman" w:hAnsi="Times New Roman"/>
          <w:sz w:val="28"/>
          <w:szCs w:val="28"/>
          <w:lang w:val="en-US"/>
        </w:rPr>
        <w:t xml:space="preserve"> Trong đó </w:t>
      </w:r>
      <w:r w:rsidR="0046060F" w:rsidRPr="008C30F1">
        <w:rPr>
          <w:rFonts w:ascii="Times New Roman" w:hAnsi="Times New Roman"/>
          <w:sz w:val="28"/>
          <w:szCs w:val="28"/>
          <w:lang w:val="nl-NL"/>
        </w:rPr>
        <w:t xml:space="preserve">các tổ chức chính trị - xã hội nhận ủy thác ở </w:t>
      </w:r>
      <w:r w:rsidR="003956F1" w:rsidRPr="008C30F1">
        <w:rPr>
          <w:rFonts w:ascii="Times New Roman" w:hAnsi="Times New Roman"/>
          <w:sz w:val="28"/>
          <w:szCs w:val="28"/>
          <w:lang w:val="nl-NL"/>
        </w:rPr>
        <w:t>cấp cơ sở</w:t>
      </w:r>
      <w:r w:rsidR="0046060F" w:rsidRPr="008C30F1">
        <w:rPr>
          <w:rFonts w:ascii="Times New Roman" w:hAnsi="Times New Roman"/>
          <w:sz w:val="28"/>
          <w:szCs w:val="28"/>
          <w:lang w:val="nl-NL"/>
        </w:rPr>
        <w:t xml:space="preserve"> </w:t>
      </w:r>
      <w:r w:rsidR="00901EF1" w:rsidRPr="008C30F1">
        <w:rPr>
          <w:rFonts w:ascii="Times New Roman" w:hAnsi="Times New Roman"/>
          <w:sz w:val="28"/>
          <w:szCs w:val="28"/>
          <w:lang w:val="nl-NL"/>
        </w:rPr>
        <w:t xml:space="preserve">thực hiện thường xuyên </w:t>
      </w:r>
      <w:r w:rsidR="0046060F" w:rsidRPr="008C30F1">
        <w:rPr>
          <w:rFonts w:ascii="Times New Roman" w:hAnsi="Times New Roman"/>
          <w:sz w:val="28"/>
          <w:szCs w:val="28"/>
          <w:lang w:val="nl-NL"/>
        </w:rPr>
        <w:t xml:space="preserve">việc tuyên truyền đến đoàn viên, hội viên nắm bắt </w:t>
      </w:r>
      <w:r w:rsidR="00901EF1" w:rsidRPr="008C30F1">
        <w:rPr>
          <w:rFonts w:ascii="Times New Roman" w:hAnsi="Times New Roman"/>
          <w:sz w:val="28"/>
          <w:szCs w:val="28"/>
          <w:lang w:val="nl-NL"/>
        </w:rPr>
        <w:t>đầy đủ nội dung của Đề án</w:t>
      </w:r>
      <w:r w:rsidR="0046060F" w:rsidRPr="008C30F1">
        <w:rPr>
          <w:rFonts w:ascii="Times New Roman" w:hAnsi="Times New Roman"/>
          <w:sz w:val="28"/>
          <w:szCs w:val="28"/>
          <w:lang w:val="nl-NL"/>
        </w:rPr>
        <w:t>.</w:t>
      </w:r>
      <w:r w:rsidR="00901EF1" w:rsidRPr="008C30F1">
        <w:rPr>
          <w:rFonts w:ascii="Times New Roman" w:hAnsi="Times New Roman"/>
          <w:sz w:val="28"/>
          <w:szCs w:val="28"/>
          <w:lang w:val="nl-NL"/>
        </w:rPr>
        <w:t xml:space="preserve"> Phần lớn các cấp hội  tiếp cận trực tiếp từng hộ là hội viên, kịp</w:t>
      </w:r>
      <w:r w:rsidR="003956F1" w:rsidRPr="008C30F1">
        <w:rPr>
          <w:rFonts w:ascii="Times New Roman" w:hAnsi="Times New Roman"/>
          <w:sz w:val="28"/>
          <w:szCs w:val="28"/>
          <w:lang w:val="nl-NL"/>
        </w:rPr>
        <w:t xml:space="preserve"> t</w:t>
      </w:r>
      <w:r w:rsidR="00901EF1" w:rsidRPr="008C30F1">
        <w:rPr>
          <w:rFonts w:ascii="Times New Roman" w:hAnsi="Times New Roman"/>
          <w:sz w:val="28"/>
          <w:szCs w:val="28"/>
          <w:lang w:val="nl-NL"/>
        </w:rPr>
        <w:t xml:space="preserve">hời tư vấn và </w:t>
      </w:r>
      <w:r w:rsidR="004131B3" w:rsidRPr="008C30F1">
        <w:rPr>
          <w:rFonts w:ascii="Times New Roman" w:hAnsi="Times New Roman"/>
          <w:sz w:val="28"/>
          <w:szCs w:val="28"/>
          <w:lang w:val="nl-NL"/>
        </w:rPr>
        <w:t xml:space="preserve">hướng dẫn </w:t>
      </w:r>
      <w:r w:rsidR="00901EF1" w:rsidRPr="008C30F1">
        <w:rPr>
          <w:rFonts w:ascii="Times New Roman" w:hAnsi="Times New Roman"/>
          <w:sz w:val="28"/>
          <w:szCs w:val="28"/>
          <w:lang w:val="nl-NL"/>
        </w:rPr>
        <w:t>thực hiện hoàn th</w:t>
      </w:r>
      <w:r w:rsidR="00C263D4" w:rsidRPr="008C30F1">
        <w:rPr>
          <w:rFonts w:ascii="Times New Roman" w:hAnsi="Times New Roman"/>
          <w:sz w:val="28"/>
          <w:szCs w:val="28"/>
          <w:lang w:val="nl-NL"/>
        </w:rPr>
        <w:t>iện</w:t>
      </w:r>
      <w:r w:rsidR="00901EF1" w:rsidRPr="008C30F1">
        <w:rPr>
          <w:rFonts w:ascii="Times New Roman" w:hAnsi="Times New Roman"/>
          <w:sz w:val="28"/>
          <w:szCs w:val="28"/>
          <w:lang w:val="nl-NL"/>
        </w:rPr>
        <w:t xml:space="preserve"> hồ sơ vay cho đối tượng có nhu cầu và đủ điều kiện vay đảm bảo theo quy định</w:t>
      </w:r>
      <w:r w:rsidR="005515FA" w:rsidRPr="008C30F1">
        <w:rPr>
          <w:rFonts w:ascii="Times New Roman" w:hAnsi="Times New Roman"/>
          <w:sz w:val="28"/>
          <w:szCs w:val="28"/>
          <w:lang w:val="nl-NL"/>
        </w:rPr>
        <w:t>.</w:t>
      </w:r>
    </w:p>
    <w:p w:rsidR="006723A5" w:rsidRPr="008C30F1" w:rsidRDefault="005515FA" w:rsidP="008C30F1">
      <w:pPr>
        <w:spacing w:after="120" w:line="288" w:lineRule="auto"/>
        <w:ind w:firstLine="720"/>
        <w:jc w:val="both"/>
        <w:rPr>
          <w:rFonts w:ascii="Times New Roman" w:hAnsi="Times New Roman"/>
          <w:b/>
          <w:sz w:val="28"/>
          <w:szCs w:val="28"/>
          <w:lang w:val="nl-NL"/>
        </w:rPr>
      </w:pPr>
      <w:r w:rsidRPr="008C30F1">
        <w:rPr>
          <w:rFonts w:ascii="Times New Roman" w:hAnsi="Times New Roman"/>
          <w:b/>
          <w:sz w:val="28"/>
          <w:szCs w:val="28"/>
          <w:lang w:val="nl-NL"/>
        </w:rPr>
        <w:t>2. Kết quả cụ thể</w:t>
      </w:r>
      <w:r w:rsidR="006723A5" w:rsidRPr="008C30F1">
        <w:rPr>
          <w:rFonts w:ascii="Times New Roman" w:hAnsi="Times New Roman"/>
          <w:b/>
          <w:sz w:val="28"/>
          <w:szCs w:val="28"/>
          <w:lang w:val="nl-NL"/>
        </w:rPr>
        <w:t xml:space="preserve"> cho vay theo Đề án </w:t>
      </w:r>
    </w:p>
    <w:p w:rsidR="006723A5" w:rsidRPr="008C30F1" w:rsidRDefault="00984766" w:rsidP="008C30F1">
      <w:pPr>
        <w:spacing w:after="120" w:line="288" w:lineRule="auto"/>
        <w:ind w:firstLine="709"/>
        <w:jc w:val="both"/>
        <w:rPr>
          <w:rFonts w:ascii="Times New Roman" w:hAnsi="Times New Roman"/>
          <w:i/>
          <w:sz w:val="28"/>
          <w:szCs w:val="28"/>
          <w:lang w:val="nl-NL"/>
        </w:rPr>
      </w:pPr>
      <w:r w:rsidRPr="008C30F1">
        <w:rPr>
          <w:rFonts w:ascii="Times New Roman" w:hAnsi="Times New Roman"/>
          <w:sz w:val="28"/>
          <w:szCs w:val="28"/>
          <w:lang w:val="nl-NL"/>
        </w:rPr>
        <w:t xml:space="preserve">- </w:t>
      </w:r>
      <w:r w:rsidR="006723A5" w:rsidRPr="008C30F1">
        <w:rPr>
          <w:rFonts w:ascii="Times New Roman" w:hAnsi="Times New Roman"/>
          <w:sz w:val="28"/>
          <w:szCs w:val="28"/>
          <w:lang w:val="nl-NL"/>
        </w:rPr>
        <w:t xml:space="preserve">Tổng nguồn vốn ngân sách địa phương ủy thác sang </w:t>
      </w:r>
      <w:r w:rsidR="00103804" w:rsidRPr="008C30F1">
        <w:rPr>
          <w:rFonts w:ascii="Times New Roman" w:hAnsi="Times New Roman"/>
          <w:sz w:val="28"/>
          <w:szCs w:val="28"/>
          <w:lang w:val="nl-NL"/>
        </w:rPr>
        <w:t>NHCSXH</w:t>
      </w:r>
      <w:r w:rsidR="006723A5" w:rsidRPr="008C30F1">
        <w:rPr>
          <w:rFonts w:ascii="Times New Roman" w:hAnsi="Times New Roman"/>
          <w:sz w:val="28"/>
          <w:szCs w:val="28"/>
          <w:lang w:val="nl-NL"/>
        </w:rPr>
        <w:t xml:space="preserve"> tỉnh, huyện từ năm 2020 đến nay (trong đó có thực hiện Đề án) là </w:t>
      </w:r>
      <w:r w:rsidR="00A511D2">
        <w:rPr>
          <w:rFonts w:ascii="Times New Roman" w:hAnsi="Times New Roman"/>
          <w:sz w:val="28"/>
          <w:szCs w:val="28"/>
          <w:lang w:val="nl-NL"/>
        </w:rPr>
        <w:t xml:space="preserve">gần </w:t>
      </w:r>
      <w:r w:rsidR="006723A5" w:rsidRPr="008C30F1">
        <w:rPr>
          <w:rFonts w:ascii="Times New Roman" w:hAnsi="Times New Roman"/>
          <w:sz w:val="28"/>
          <w:szCs w:val="28"/>
          <w:lang w:val="nl-NL"/>
        </w:rPr>
        <w:t xml:space="preserve">78,4 tỷ đồng </w:t>
      </w:r>
      <w:r w:rsidR="005B2988" w:rsidRPr="008C30F1">
        <w:rPr>
          <w:rFonts w:ascii="Times New Roman" w:hAnsi="Times New Roman"/>
          <w:sz w:val="28"/>
          <w:szCs w:val="28"/>
          <w:lang w:val="nl-NL"/>
        </w:rPr>
        <w:t>(c</w:t>
      </w:r>
      <w:r w:rsidR="006723A5" w:rsidRPr="008C30F1">
        <w:rPr>
          <w:rFonts w:ascii="Times New Roman" w:hAnsi="Times New Roman"/>
          <w:sz w:val="28"/>
          <w:szCs w:val="28"/>
          <w:lang w:val="nl-NL"/>
        </w:rPr>
        <w:t>hi tiết tại Phụ lục 1 kèm theo)</w:t>
      </w:r>
      <w:r w:rsidRPr="008C30F1">
        <w:rPr>
          <w:rFonts w:ascii="Times New Roman" w:hAnsi="Times New Roman"/>
          <w:sz w:val="28"/>
          <w:szCs w:val="28"/>
          <w:lang w:val="nl-NL"/>
        </w:rPr>
        <w:t>, trong đó</w:t>
      </w:r>
      <w:r w:rsidR="00346007">
        <w:rPr>
          <w:rFonts w:ascii="Times New Roman" w:hAnsi="Times New Roman"/>
          <w:sz w:val="28"/>
          <w:szCs w:val="28"/>
          <w:lang w:val="nl-NL"/>
        </w:rPr>
        <w:t xml:space="preserve"> thực hiện Đề án là </w:t>
      </w:r>
      <w:r w:rsidRPr="008C30F1">
        <w:rPr>
          <w:rFonts w:ascii="Times New Roman" w:hAnsi="Times New Roman"/>
          <w:sz w:val="28"/>
          <w:szCs w:val="28"/>
          <w:lang w:val="nl-NL"/>
        </w:rPr>
        <w:t>:</w:t>
      </w:r>
    </w:p>
    <w:p w:rsidR="006723A5" w:rsidRPr="008C30F1" w:rsidRDefault="00984766"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w:t>
      </w:r>
      <w:r w:rsidR="000966C6">
        <w:rPr>
          <w:rFonts w:ascii="Times New Roman" w:hAnsi="Times New Roman"/>
          <w:sz w:val="28"/>
          <w:szCs w:val="28"/>
          <w:lang w:val="nl-NL"/>
        </w:rPr>
        <w:t xml:space="preserve"> Năm 2020 g</w:t>
      </w:r>
      <w:r w:rsidR="00B8010C">
        <w:rPr>
          <w:rFonts w:ascii="Times New Roman" w:hAnsi="Times New Roman"/>
          <w:sz w:val="28"/>
          <w:szCs w:val="28"/>
          <w:lang w:val="nl-NL"/>
        </w:rPr>
        <w:t xml:space="preserve">ần </w:t>
      </w:r>
      <w:r w:rsidR="006723A5" w:rsidRPr="008C30F1">
        <w:rPr>
          <w:rFonts w:ascii="Times New Roman" w:hAnsi="Times New Roman"/>
          <w:sz w:val="28"/>
          <w:szCs w:val="28"/>
          <w:lang w:val="nl-NL"/>
        </w:rPr>
        <w:t xml:space="preserve">28,4 tỷ đồng; trong đó, ngân sách tỉnh </w:t>
      </w:r>
      <w:r w:rsidR="00B8010C">
        <w:rPr>
          <w:rFonts w:ascii="Times New Roman" w:hAnsi="Times New Roman"/>
          <w:sz w:val="28"/>
          <w:szCs w:val="28"/>
          <w:lang w:val="nl-NL"/>
        </w:rPr>
        <w:t xml:space="preserve">gần </w:t>
      </w:r>
      <w:r w:rsidR="006723A5" w:rsidRPr="008C30F1">
        <w:rPr>
          <w:rFonts w:ascii="Times New Roman" w:hAnsi="Times New Roman"/>
          <w:sz w:val="28"/>
          <w:szCs w:val="28"/>
          <w:lang w:val="nl-NL"/>
        </w:rPr>
        <w:t>18,9 tỷ đồng; ngân sách huyện 9,5 tỷ đồng;</w:t>
      </w:r>
    </w:p>
    <w:p w:rsidR="006723A5" w:rsidRPr="008C30F1" w:rsidRDefault="00984766"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lastRenderedPageBreak/>
        <w:t>+</w:t>
      </w:r>
      <w:r w:rsidR="000966C6">
        <w:rPr>
          <w:rFonts w:ascii="Times New Roman" w:hAnsi="Times New Roman"/>
          <w:sz w:val="28"/>
          <w:szCs w:val="28"/>
          <w:lang w:val="nl-NL"/>
        </w:rPr>
        <w:t xml:space="preserve"> Năm 2021</w:t>
      </w:r>
      <w:r w:rsidR="006723A5" w:rsidRPr="008C30F1">
        <w:rPr>
          <w:rFonts w:ascii="Times New Roman" w:hAnsi="Times New Roman"/>
          <w:sz w:val="28"/>
          <w:szCs w:val="28"/>
          <w:lang w:val="nl-NL"/>
        </w:rPr>
        <w:t xml:space="preserve"> </w:t>
      </w:r>
      <w:r w:rsidR="000966C6">
        <w:rPr>
          <w:rFonts w:ascii="Times New Roman" w:hAnsi="Times New Roman"/>
          <w:sz w:val="28"/>
          <w:szCs w:val="28"/>
          <w:lang w:val="nl-NL"/>
        </w:rPr>
        <w:t xml:space="preserve">gần </w:t>
      </w:r>
      <w:r w:rsidR="006723A5" w:rsidRPr="008C30F1">
        <w:rPr>
          <w:rFonts w:ascii="Times New Roman" w:hAnsi="Times New Roman"/>
          <w:sz w:val="28"/>
          <w:szCs w:val="28"/>
          <w:lang w:val="nl-NL"/>
        </w:rPr>
        <w:t xml:space="preserve">25 tỷ đồng; trong đó, ngân sách tỉnh </w:t>
      </w:r>
      <w:r w:rsidR="000966C6">
        <w:rPr>
          <w:rFonts w:ascii="Times New Roman" w:hAnsi="Times New Roman"/>
          <w:sz w:val="28"/>
          <w:szCs w:val="28"/>
          <w:lang w:val="nl-NL"/>
        </w:rPr>
        <w:t xml:space="preserve">gần </w:t>
      </w:r>
      <w:r w:rsidR="006723A5" w:rsidRPr="008C30F1">
        <w:rPr>
          <w:rFonts w:ascii="Times New Roman" w:hAnsi="Times New Roman"/>
          <w:sz w:val="28"/>
          <w:szCs w:val="28"/>
          <w:lang w:val="nl-NL"/>
        </w:rPr>
        <w:t>11,8 tỷ đồng; ngân sách huyện 13,2 tỷ đồng;</w:t>
      </w:r>
    </w:p>
    <w:p w:rsidR="006723A5" w:rsidRPr="008C30F1" w:rsidRDefault="00984766"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w:t>
      </w:r>
      <w:r w:rsidR="006723A5" w:rsidRPr="008C30F1">
        <w:rPr>
          <w:rFonts w:ascii="Times New Roman" w:hAnsi="Times New Roman"/>
          <w:sz w:val="28"/>
          <w:szCs w:val="28"/>
          <w:lang w:val="nl-NL"/>
        </w:rPr>
        <w:t xml:space="preserve"> </w:t>
      </w:r>
      <w:r w:rsidR="00AC0AD8" w:rsidRPr="008C30F1">
        <w:rPr>
          <w:rFonts w:ascii="Times New Roman" w:hAnsi="Times New Roman"/>
          <w:sz w:val="28"/>
          <w:szCs w:val="28"/>
          <w:lang w:val="nl-NL"/>
        </w:rPr>
        <w:t>Đến 30/6/2022</w:t>
      </w:r>
      <w:r w:rsidR="005C7B8D">
        <w:rPr>
          <w:rFonts w:ascii="Times New Roman" w:hAnsi="Times New Roman"/>
          <w:sz w:val="28"/>
          <w:szCs w:val="28"/>
          <w:lang w:val="nl-NL"/>
        </w:rPr>
        <w:t xml:space="preserve"> là</w:t>
      </w:r>
      <w:r w:rsidR="006723A5" w:rsidRPr="008C30F1">
        <w:rPr>
          <w:rFonts w:ascii="Times New Roman" w:hAnsi="Times New Roman"/>
          <w:sz w:val="28"/>
          <w:szCs w:val="28"/>
          <w:lang w:val="nl-NL"/>
        </w:rPr>
        <w:t xml:space="preserve"> 25 tỷ đồng; trong đó, ngân sách tỉnh 11 tỷ đồng; ngân sách huyện 14 tỷ đồng. </w:t>
      </w:r>
    </w:p>
    <w:p w:rsidR="006723A5" w:rsidRPr="008C30F1" w:rsidRDefault="006723A5"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 xml:space="preserve">Lũy kế nguồn vốn ngân sách địa phương ủy thác sang </w:t>
      </w:r>
      <w:r w:rsidR="00103804" w:rsidRPr="008C30F1">
        <w:rPr>
          <w:rFonts w:ascii="Times New Roman" w:hAnsi="Times New Roman"/>
          <w:sz w:val="28"/>
          <w:szCs w:val="28"/>
          <w:lang w:val="nl-NL"/>
        </w:rPr>
        <w:t>NHCSXH</w:t>
      </w:r>
      <w:r w:rsidRPr="008C30F1">
        <w:rPr>
          <w:rFonts w:ascii="Times New Roman" w:hAnsi="Times New Roman"/>
          <w:sz w:val="28"/>
          <w:szCs w:val="28"/>
          <w:lang w:val="nl-NL"/>
        </w:rPr>
        <w:t xml:space="preserve"> đến nay là 150,1 tỷ đồ</w:t>
      </w:r>
      <w:r w:rsidR="00984766" w:rsidRPr="008C30F1">
        <w:rPr>
          <w:rFonts w:ascii="Times New Roman" w:hAnsi="Times New Roman"/>
          <w:sz w:val="28"/>
          <w:szCs w:val="28"/>
          <w:lang w:val="nl-NL"/>
        </w:rPr>
        <w:t>ng,</w:t>
      </w:r>
      <w:r w:rsidRPr="008C30F1">
        <w:rPr>
          <w:rFonts w:ascii="Times New Roman" w:hAnsi="Times New Roman"/>
          <w:sz w:val="28"/>
          <w:szCs w:val="28"/>
          <w:lang w:val="nl-NL"/>
        </w:rPr>
        <w:t xml:space="preserve"> (trong đó: ngân sách tỉnh 96,6 tỷ đồng, ngân sách huyện, thành phố 53,5 tỷ đồ</w:t>
      </w:r>
      <w:r w:rsidR="00BE6878" w:rsidRPr="008C30F1">
        <w:rPr>
          <w:rFonts w:ascii="Times New Roman" w:hAnsi="Times New Roman"/>
          <w:sz w:val="28"/>
          <w:szCs w:val="28"/>
          <w:lang w:val="nl-NL"/>
        </w:rPr>
        <w:t>ng).</w:t>
      </w:r>
    </w:p>
    <w:p w:rsidR="006723A5" w:rsidRPr="008C30F1" w:rsidRDefault="00984766"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 xml:space="preserve">- </w:t>
      </w:r>
      <w:r w:rsidR="006723A5" w:rsidRPr="008C30F1">
        <w:rPr>
          <w:rFonts w:ascii="Times New Roman" w:hAnsi="Times New Roman"/>
          <w:sz w:val="28"/>
          <w:szCs w:val="28"/>
          <w:lang w:val="nl-NL"/>
        </w:rPr>
        <w:t>Mục đích vay vốn (kết quả đến ngày 30 tháng 6 năm 2022</w:t>
      </w:r>
      <w:r w:rsidRPr="008C30F1">
        <w:rPr>
          <w:rFonts w:ascii="Times New Roman" w:hAnsi="Times New Roman"/>
          <w:sz w:val="28"/>
          <w:szCs w:val="28"/>
          <w:lang w:val="nl-NL"/>
        </w:rPr>
        <w:t>):</w:t>
      </w:r>
      <w:r w:rsidR="006723A5" w:rsidRPr="008C30F1">
        <w:rPr>
          <w:rFonts w:ascii="Times New Roman" w:hAnsi="Times New Roman"/>
          <w:sz w:val="28"/>
          <w:szCs w:val="28"/>
          <w:lang w:val="nl-NL"/>
        </w:rPr>
        <w:t xml:space="preserve"> Có 152 lượt người vay vốn với tổng số tiền cho vay 4.080 triệu đồng. Trong đó: Cho vay tiêu dùng để chi phí khám, chữa bệnh cho thành viên trong hộ</w:t>
      </w:r>
      <w:r w:rsidR="00B47994">
        <w:rPr>
          <w:rFonts w:ascii="Times New Roman" w:hAnsi="Times New Roman"/>
          <w:sz w:val="28"/>
          <w:szCs w:val="28"/>
          <w:lang w:val="nl-NL"/>
        </w:rPr>
        <w:t xml:space="preserve"> gia đình, xây nhà,</w:t>
      </w:r>
      <w:r w:rsidR="006723A5" w:rsidRPr="008C30F1">
        <w:rPr>
          <w:rFonts w:ascii="Times New Roman" w:hAnsi="Times New Roman"/>
          <w:sz w:val="28"/>
          <w:szCs w:val="28"/>
          <w:lang w:val="nl-NL"/>
        </w:rPr>
        <w:t>… cho 147 hộ, số tiền 3.930 triệu đồng; cho vay để kinh doanh, buôn bán nhỏ 05 hộ, số tiền 150 triệu đồng để mở tạp hóa bán các mặt hàng nhu cầu thiết yế</w:t>
      </w:r>
      <w:r w:rsidR="00EE3ACE">
        <w:rPr>
          <w:rFonts w:ascii="Times New Roman" w:hAnsi="Times New Roman"/>
          <w:sz w:val="28"/>
          <w:szCs w:val="28"/>
          <w:lang w:val="nl-NL"/>
        </w:rPr>
        <w:t>u hàng ngày</w:t>
      </w:r>
      <w:r w:rsidR="006723A5" w:rsidRPr="008C30F1">
        <w:rPr>
          <w:rFonts w:ascii="Times New Roman" w:hAnsi="Times New Roman"/>
          <w:sz w:val="28"/>
          <w:szCs w:val="28"/>
          <w:lang w:val="nl-NL"/>
        </w:rPr>
        <w:t xml:space="preserve"> </w:t>
      </w:r>
      <w:r w:rsidR="005B2988" w:rsidRPr="008C30F1">
        <w:rPr>
          <w:rFonts w:ascii="Times New Roman" w:hAnsi="Times New Roman"/>
          <w:sz w:val="28"/>
          <w:szCs w:val="28"/>
          <w:lang w:val="nl-NL"/>
        </w:rPr>
        <w:t>(c</w:t>
      </w:r>
      <w:r w:rsidR="006723A5" w:rsidRPr="008C30F1">
        <w:rPr>
          <w:rFonts w:ascii="Times New Roman" w:hAnsi="Times New Roman"/>
          <w:sz w:val="28"/>
          <w:szCs w:val="28"/>
          <w:lang w:val="nl-NL"/>
        </w:rPr>
        <w:t>hi tiết tại Phụ lục 2A, 2B, 2C và phụ lục 3 kèm theo)</w:t>
      </w:r>
      <w:r w:rsidR="0054408F" w:rsidRPr="008C30F1">
        <w:rPr>
          <w:rFonts w:ascii="Times New Roman" w:hAnsi="Times New Roman"/>
          <w:sz w:val="28"/>
          <w:szCs w:val="28"/>
          <w:lang w:val="nl-NL"/>
        </w:rPr>
        <w:t>.</w:t>
      </w:r>
    </w:p>
    <w:p w:rsidR="006723A5" w:rsidRPr="008C30F1" w:rsidRDefault="006723A5"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 xml:space="preserve">- Việc chấp hành các quy định về trả nợ, trả lãi: </w:t>
      </w:r>
      <w:r w:rsidR="00984766" w:rsidRPr="008C30F1">
        <w:rPr>
          <w:rFonts w:ascii="Times New Roman" w:hAnsi="Times New Roman"/>
          <w:sz w:val="28"/>
          <w:szCs w:val="28"/>
          <w:lang w:val="nl-NL"/>
        </w:rPr>
        <w:t xml:space="preserve">Theo báo cáo của UBND cấp xã </w:t>
      </w:r>
      <w:r w:rsidR="00BE6878" w:rsidRPr="008C30F1">
        <w:rPr>
          <w:rFonts w:ascii="Times New Roman" w:hAnsi="Times New Roman"/>
          <w:sz w:val="28"/>
          <w:szCs w:val="28"/>
          <w:lang w:val="nl-NL"/>
        </w:rPr>
        <w:t>tại nơi đoàn đến</w:t>
      </w:r>
      <w:r w:rsidR="00984766" w:rsidRPr="008C30F1">
        <w:rPr>
          <w:rFonts w:ascii="Times New Roman" w:hAnsi="Times New Roman"/>
          <w:sz w:val="28"/>
          <w:szCs w:val="28"/>
          <w:lang w:val="nl-NL"/>
        </w:rPr>
        <w:t xml:space="preserve"> giám sát,</w:t>
      </w:r>
      <w:r w:rsidR="00F20F2A">
        <w:rPr>
          <w:rFonts w:ascii="Times New Roman" w:hAnsi="Times New Roman"/>
          <w:sz w:val="28"/>
          <w:szCs w:val="28"/>
          <w:lang w:val="nl-NL"/>
        </w:rPr>
        <w:t xml:space="preserve"> </w:t>
      </w:r>
      <w:r w:rsidR="00984766" w:rsidRPr="008C30F1">
        <w:rPr>
          <w:rFonts w:ascii="Times New Roman" w:hAnsi="Times New Roman"/>
          <w:sz w:val="28"/>
          <w:szCs w:val="28"/>
          <w:lang w:val="nl-NL"/>
        </w:rPr>
        <w:t xml:space="preserve">về cơ bản người vay vốn chấp hành tốt </w:t>
      </w:r>
      <w:r w:rsidRPr="008C30F1">
        <w:rPr>
          <w:rFonts w:ascii="Times New Roman" w:hAnsi="Times New Roman"/>
          <w:sz w:val="28"/>
          <w:szCs w:val="28"/>
          <w:lang w:val="nl-NL"/>
        </w:rPr>
        <w:t>việc trả lãi định kỳ, trả nợ khi đến hạn theo đúng cam kết</w:t>
      </w:r>
      <w:r w:rsidR="00984766" w:rsidRPr="008C30F1">
        <w:rPr>
          <w:rFonts w:ascii="Times New Roman" w:hAnsi="Times New Roman"/>
          <w:sz w:val="28"/>
          <w:szCs w:val="28"/>
          <w:lang w:val="nl-NL"/>
        </w:rPr>
        <w:t>, trong đó m</w:t>
      </w:r>
      <w:r w:rsidRPr="008C30F1">
        <w:rPr>
          <w:rFonts w:ascii="Times New Roman" w:hAnsi="Times New Roman"/>
          <w:sz w:val="28"/>
          <w:szCs w:val="28"/>
          <w:lang w:val="nl-NL"/>
        </w:rPr>
        <w:t xml:space="preserve">ột số hộ vay đã trả nợ trước hạn (48 hộ, số tiền 1.381 triệu đồng). Đến 30 tháng 6 năm 2022, chưa phát sinh nợ quá hạn. </w:t>
      </w:r>
    </w:p>
    <w:p w:rsidR="00D10ECA" w:rsidRPr="008C30F1" w:rsidRDefault="00D10ECA"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 xml:space="preserve">- </w:t>
      </w:r>
      <w:r w:rsidR="0070260C" w:rsidRPr="008C30F1">
        <w:rPr>
          <w:rFonts w:ascii="Times New Roman" w:hAnsi="Times New Roman"/>
          <w:sz w:val="28"/>
          <w:szCs w:val="28"/>
          <w:lang w:val="nl-NL"/>
        </w:rPr>
        <w:t xml:space="preserve">Các tổ chức chính trị-xã hội các cấp, đặc biệt là ở cấp xã và khu dân cư, đã thường xuyên phổ biến, thông tin đến đoàn viên, hội viên của tổ chức mình về chính sách cho vay tiêu dùng để biết và vay khi có nhu cầu; cấp ủy và chính quyền địa phương luôn sâu sát trong thực hiện nhiệm vụ được phân công tại Đề án. </w:t>
      </w:r>
      <w:r w:rsidRPr="008C30F1">
        <w:rPr>
          <w:rFonts w:ascii="Times New Roman" w:hAnsi="Times New Roman"/>
          <w:sz w:val="28"/>
          <w:szCs w:val="28"/>
          <w:lang w:val="nl-NL"/>
        </w:rPr>
        <w:t>Từng cơ quan đơn vị được phân công của Đề án thực hiện phối hợp chặt chẽ trong việc tham mưu Ban đại diện HĐQT NHCSXH cấp tỉnh, cấp huyện về bố trí kinh phí chuyển sang NHCSXH thực hiện cho vay; rà soát các nhóm đối tượng để cho vay đúng đối tượng; quy trình xét</w:t>
      </w:r>
      <w:r w:rsidR="00BE6878" w:rsidRPr="008C30F1">
        <w:rPr>
          <w:rFonts w:ascii="Times New Roman" w:hAnsi="Times New Roman"/>
          <w:sz w:val="28"/>
          <w:szCs w:val="28"/>
          <w:lang w:val="nl-NL"/>
        </w:rPr>
        <w:t>,</w:t>
      </w:r>
      <w:r w:rsidRPr="008C30F1">
        <w:rPr>
          <w:rFonts w:ascii="Times New Roman" w:hAnsi="Times New Roman"/>
          <w:sz w:val="28"/>
          <w:szCs w:val="28"/>
          <w:lang w:val="nl-NL"/>
        </w:rPr>
        <w:t xml:space="preserve"> xác nhận đối tượng vay của trưởng khu dân cư và các Tổ tiết kiệm và vay vốn đảm bảo; công tác giải ngân, theo dõi sử dụng vốn</w:t>
      </w:r>
      <w:r w:rsidR="001239D6" w:rsidRPr="008C30F1">
        <w:rPr>
          <w:rFonts w:ascii="Times New Roman" w:hAnsi="Times New Roman"/>
          <w:sz w:val="28"/>
          <w:szCs w:val="28"/>
          <w:lang w:val="nl-NL"/>
        </w:rPr>
        <w:t xml:space="preserve"> đảm bảo đúng mục đích, hiệu quả. Đến nay chưa xảy ra khiếu nại, khiếu kiện liên quan đến đối tượng và quy trình cho vay theo Đề án tại hệ thống NHCSXH.</w:t>
      </w:r>
    </w:p>
    <w:p w:rsidR="0070260C" w:rsidRPr="008C30F1" w:rsidRDefault="0070260C" w:rsidP="008C30F1">
      <w:pPr>
        <w:spacing w:after="120" w:line="288" w:lineRule="auto"/>
        <w:ind w:firstLine="709"/>
        <w:jc w:val="both"/>
        <w:rPr>
          <w:rFonts w:ascii="Times New Roman" w:hAnsi="Times New Roman"/>
          <w:sz w:val="28"/>
          <w:szCs w:val="28"/>
          <w:lang w:val="nl-NL"/>
        </w:rPr>
      </w:pPr>
      <w:r w:rsidRPr="008C30F1">
        <w:rPr>
          <w:rFonts w:ascii="Times New Roman" w:hAnsi="Times New Roman"/>
          <w:sz w:val="28"/>
          <w:szCs w:val="28"/>
          <w:lang w:val="nl-NL"/>
        </w:rPr>
        <w:t>Qua gần 3 năm triển khai Nghị quyết số</w:t>
      </w:r>
      <w:r w:rsidR="00E8245C" w:rsidRPr="008C30F1">
        <w:rPr>
          <w:rFonts w:ascii="Times New Roman" w:hAnsi="Times New Roman"/>
          <w:sz w:val="28"/>
          <w:szCs w:val="28"/>
          <w:lang w:val="nl-NL"/>
        </w:rPr>
        <w:t xml:space="preserve"> 67/2019</w:t>
      </w:r>
      <w:r w:rsidRPr="008C30F1">
        <w:rPr>
          <w:rFonts w:ascii="Times New Roman" w:hAnsi="Times New Roman"/>
          <w:sz w:val="28"/>
          <w:szCs w:val="28"/>
          <w:lang w:val="nl-NL"/>
        </w:rPr>
        <w:t xml:space="preserve">/NQ-HĐND, với kết quả như đã phân tích ở trên, cho thấy Nghị quyết cơ bản </w:t>
      </w:r>
      <w:r w:rsidR="00F20F2A">
        <w:rPr>
          <w:rFonts w:ascii="Times New Roman" w:hAnsi="Times New Roman"/>
          <w:sz w:val="28"/>
          <w:szCs w:val="28"/>
          <w:lang w:val="nl-NL"/>
        </w:rPr>
        <w:t xml:space="preserve">đạt được </w:t>
      </w:r>
      <w:r w:rsidRPr="008C30F1">
        <w:rPr>
          <w:rFonts w:ascii="Times New Roman" w:hAnsi="Times New Roman"/>
          <w:sz w:val="28"/>
          <w:szCs w:val="28"/>
          <w:lang w:val="nl-NL"/>
        </w:rPr>
        <w:t xml:space="preserve">mục tiêu đề ra, nhận được sự quan tâm và đồng thuận của cấp ủy, chính quyền và nhân dân trên địa bàn tỉnh; kịp thời hỗ trợ nhiều hộ gia đình </w:t>
      </w:r>
      <w:r w:rsidR="00F20F2A">
        <w:rPr>
          <w:rFonts w:ascii="Times New Roman" w:hAnsi="Times New Roman"/>
          <w:sz w:val="28"/>
          <w:szCs w:val="28"/>
          <w:lang w:val="nl-NL"/>
        </w:rPr>
        <w:t>vượt qua</w:t>
      </w:r>
      <w:r w:rsidRPr="008C30F1">
        <w:rPr>
          <w:rFonts w:ascii="Times New Roman" w:hAnsi="Times New Roman"/>
          <w:sz w:val="28"/>
          <w:szCs w:val="28"/>
          <w:lang w:val="nl-NL"/>
        </w:rPr>
        <w:t xml:space="preserve"> hoàn cảnh </w:t>
      </w:r>
      <w:r w:rsidR="00F20F2A">
        <w:rPr>
          <w:rFonts w:ascii="Times New Roman" w:hAnsi="Times New Roman"/>
          <w:sz w:val="28"/>
          <w:szCs w:val="28"/>
          <w:lang w:val="nl-NL"/>
        </w:rPr>
        <w:t>khó khăn về kinh tế</w:t>
      </w:r>
      <w:r w:rsidRPr="008C30F1">
        <w:rPr>
          <w:rFonts w:ascii="Times New Roman" w:hAnsi="Times New Roman"/>
          <w:sz w:val="28"/>
          <w:szCs w:val="28"/>
          <w:lang w:val="nl-NL"/>
        </w:rPr>
        <w:t xml:space="preserve">, đặc biệt là trong các trường hợp </w:t>
      </w:r>
      <w:r w:rsidR="00F20F2A">
        <w:rPr>
          <w:rFonts w:ascii="Times New Roman" w:hAnsi="Times New Roman"/>
          <w:sz w:val="28"/>
          <w:szCs w:val="28"/>
          <w:lang w:val="nl-NL"/>
        </w:rPr>
        <w:t xml:space="preserve">đau ốm, mắc bệnh hiểm nghèo cần có </w:t>
      </w:r>
      <w:r w:rsidR="00F20F2A">
        <w:rPr>
          <w:rFonts w:ascii="Times New Roman" w:hAnsi="Times New Roman"/>
          <w:sz w:val="28"/>
          <w:szCs w:val="28"/>
          <w:lang w:val="nl-NL"/>
        </w:rPr>
        <w:lastRenderedPageBreak/>
        <w:t>tiền để chi trả,</w:t>
      </w:r>
      <w:r w:rsidRPr="008C30F1">
        <w:rPr>
          <w:rFonts w:ascii="Times New Roman" w:hAnsi="Times New Roman"/>
          <w:sz w:val="28"/>
          <w:szCs w:val="28"/>
          <w:lang w:val="nl-NL"/>
        </w:rPr>
        <w:t xml:space="preserve"> góp phần hạn chế </w:t>
      </w:r>
      <w:r w:rsidR="00F20F2A">
        <w:rPr>
          <w:rFonts w:ascii="Times New Roman" w:hAnsi="Times New Roman"/>
          <w:sz w:val="28"/>
          <w:szCs w:val="28"/>
          <w:lang w:val="nl-NL"/>
        </w:rPr>
        <w:t>việc</w:t>
      </w:r>
      <w:r w:rsidRPr="008C30F1">
        <w:rPr>
          <w:rFonts w:ascii="Times New Roman" w:hAnsi="Times New Roman"/>
          <w:sz w:val="28"/>
          <w:szCs w:val="28"/>
          <w:lang w:val="nl-NL"/>
        </w:rPr>
        <w:t xml:space="preserve"> đi “vay nóng”, thể hiện được tính nhân văn của Nghị quyết và góp phần </w:t>
      </w:r>
      <w:r w:rsidR="00AD47B7">
        <w:rPr>
          <w:rFonts w:ascii="Times New Roman" w:hAnsi="Times New Roman"/>
          <w:sz w:val="28"/>
          <w:szCs w:val="28"/>
          <w:lang w:val="nl-NL"/>
        </w:rPr>
        <w:t xml:space="preserve">đẩy lùi hoạt động </w:t>
      </w:r>
      <w:r w:rsidRPr="008C30F1">
        <w:rPr>
          <w:rFonts w:ascii="Times New Roman" w:hAnsi="Times New Roman"/>
          <w:sz w:val="28"/>
          <w:szCs w:val="28"/>
          <w:lang w:val="nl-NL"/>
        </w:rPr>
        <w:t>“tín dụng đen” trên địa bàn.</w:t>
      </w:r>
    </w:p>
    <w:p w:rsidR="005515FA" w:rsidRPr="008C30F1" w:rsidRDefault="00A9783B" w:rsidP="008C30F1">
      <w:pPr>
        <w:spacing w:after="120" w:line="288" w:lineRule="auto"/>
        <w:ind w:firstLine="720"/>
        <w:jc w:val="both"/>
        <w:rPr>
          <w:rFonts w:ascii="Times New Roman" w:hAnsi="Times New Roman"/>
          <w:b/>
          <w:sz w:val="28"/>
          <w:szCs w:val="28"/>
          <w:lang w:val="de-DE"/>
        </w:rPr>
      </w:pPr>
      <w:r w:rsidRPr="008C30F1">
        <w:rPr>
          <w:rFonts w:ascii="Times New Roman" w:hAnsi="Times New Roman"/>
          <w:b/>
          <w:sz w:val="28"/>
          <w:szCs w:val="28"/>
          <w:lang w:val="de-DE"/>
        </w:rPr>
        <w:t>II</w:t>
      </w:r>
      <w:r w:rsidR="005515FA" w:rsidRPr="008C30F1">
        <w:rPr>
          <w:rFonts w:ascii="Times New Roman" w:hAnsi="Times New Roman"/>
          <w:b/>
          <w:sz w:val="28"/>
          <w:szCs w:val="28"/>
          <w:lang w:val="de-DE"/>
        </w:rPr>
        <w:t>. Những khó khăn, bất cập, vướng mắc</w:t>
      </w:r>
      <w:r w:rsidR="0070260C" w:rsidRPr="008C30F1">
        <w:rPr>
          <w:rFonts w:ascii="Times New Roman" w:hAnsi="Times New Roman"/>
          <w:b/>
          <w:sz w:val="28"/>
          <w:szCs w:val="28"/>
          <w:lang w:val="de-DE"/>
        </w:rPr>
        <w:t xml:space="preserve"> khi </w:t>
      </w:r>
      <w:r w:rsidR="00DC4FBB">
        <w:rPr>
          <w:rFonts w:ascii="Times New Roman" w:hAnsi="Times New Roman"/>
          <w:b/>
          <w:sz w:val="28"/>
          <w:szCs w:val="28"/>
          <w:lang w:val="de-DE"/>
        </w:rPr>
        <w:t>t</w:t>
      </w:r>
      <w:r w:rsidR="004D77DC">
        <w:rPr>
          <w:rFonts w:ascii="Times New Roman" w:hAnsi="Times New Roman"/>
          <w:b/>
          <w:sz w:val="28"/>
          <w:szCs w:val="28"/>
          <w:lang w:val="de-DE"/>
        </w:rPr>
        <w:t xml:space="preserve">riển </w:t>
      </w:r>
      <w:r w:rsidR="00DC4FBB">
        <w:rPr>
          <w:rFonts w:ascii="Times New Roman" w:hAnsi="Times New Roman"/>
          <w:b/>
          <w:sz w:val="28"/>
          <w:szCs w:val="28"/>
          <w:lang w:val="de-DE"/>
        </w:rPr>
        <w:t>kha</w:t>
      </w:r>
      <w:r w:rsidR="004D77DC">
        <w:rPr>
          <w:rFonts w:ascii="Times New Roman" w:hAnsi="Times New Roman"/>
          <w:b/>
          <w:sz w:val="28"/>
          <w:szCs w:val="28"/>
          <w:lang w:val="de-DE"/>
        </w:rPr>
        <w:t>i</w:t>
      </w:r>
      <w:r w:rsidR="00DC4FBB">
        <w:rPr>
          <w:rFonts w:ascii="Times New Roman" w:hAnsi="Times New Roman"/>
          <w:b/>
          <w:sz w:val="28"/>
          <w:szCs w:val="28"/>
          <w:lang w:val="de-DE"/>
        </w:rPr>
        <w:t xml:space="preserve"> thực hiện </w:t>
      </w:r>
      <w:r w:rsidR="005B0AA5" w:rsidRPr="008C30F1">
        <w:rPr>
          <w:rFonts w:ascii="Times New Roman" w:hAnsi="Times New Roman"/>
          <w:b/>
          <w:sz w:val="28"/>
          <w:szCs w:val="28"/>
          <w:lang w:val="de-DE"/>
        </w:rPr>
        <w:t>và nguyên nhân</w:t>
      </w:r>
      <w:r w:rsidRPr="008C30F1">
        <w:rPr>
          <w:rFonts w:ascii="Times New Roman" w:hAnsi="Times New Roman"/>
          <w:b/>
          <w:sz w:val="28"/>
          <w:szCs w:val="28"/>
          <w:lang w:val="de-DE"/>
        </w:rPr>
        <w:t>.</w:t>
      </w:r>
    </w:p>
    <w:p w:rsidR="00A9783B" w:rsidRPr="008C30F1" w:rsidRDefault="00A9783B" w:rsidP="008C30F1">
      <w:pPr>
        <w:spacing w:after="120" w:line="288" w:lineRule="auto"/>
        <w:ind w:firstLine="720"/>
        <w:jc w:val="both"/>
        <w:rPr>
          <w:rFonts w:ascii="Times New Roman" w:hAnsi="Times New Roman"/>
          <w:b/>
          <w:sz w:val="28"/>
          <w:szCs w:val="28"/>
          <w:lang w:val="de-DE"/>
        </w:rPr>
      </w:pPr>
      <w:r w:rsidRPr="008C30F1">
        <w:rPr>
          <w:rFonts w:ascii="Times New Roman" w:hAnsi="Times New Roman"/>
          <w:b/>
          <w:sz w:val="28"/>
          <w:szCs w:val="28"/>
          <w:lang w:val="de-DE"/>
        </w:rPr>
        <w:t>1. Những hạn chế, khó khăn, bất cập:</w:t>
      </w:r>
    </w:p>
    <w:p w:rsidR="00474292" w:rsidRPr="008C30F1" w:rsidRDefault="00474292"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xml:space="preserve">1.1. </w:t>
      </w:r>
      <w:r w:rsidR="00DC4FBB">
        <w:rPr>
          <w:rFonts w:ascii="Times New Roman" w:hAnsi="Times New Roman"/>
          <w:sz w:val="28"/>
          <w:szCs w:val="28"/>
          <w:lang w:val="de-DE"/>
        </w:rPr>
        <w:t>Về</w:t>
      </w:r>
      <w:r w:rsidRPr="008C30F1">
        <w:rPr>
          <w:rFonts w:ascii="Times New Roman" w:hAnsi="Times New Roman"/>
          <w:sz w:val="28"/>
          <w:szCs w:val="28"/>
          <w:lang w:val="de-DE"/>
        </w:rPr>
        <w:t xml:space="preserve"> báo cáo của các đơn vị, địa phương:</w:t>
      </w:r>
    </w:p>
    <w:p w:rsidR="005515FA" w:rsidRPr="008C30F1" w:rsidRDefault="007F2435" w:rsidP="009D1E9F">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B</w:t>
      </w:r>
      <w:r w:rsidR="005B0AA5" w:rsidRPr="008C30F1">
        <w:rPr>
          <w:rFonts w:ascii="Times New Roman" w:hAnsi="Times New Roman"/>
          <w:sz w:val="28"/>
          <w:szCs w:val="28"/>
          <w:lang w:val="de-DE"/>
        </w:rPr>
        <w:t xml:space="preserve">áo cáo </w:t>
      </w:r>
      <w:r w:rsidRPr="008C30F1">
        <w:rPr>
          <w:rFonts w:ascii="Times New Roman" w:hAnsi="Times New Roman"/>
          <w:sz w:val="28"/>
          <w:szCs w:val="28"/>
          <w:lang w:val="de-DE"/>
        </w:rPr>
        <w:t xml:space="preserve">kết quả </w:t>
      </w:r>
      <w:r w:rsidRPr="008C30F1">
        <w:rPr>
          <w:rFonts w:ascii="Times New Roman" w:hAnsi="Times New Roman"/>
          <w:sz w:val="28"/>
          <w:szCs w:val="28"/>
          <w:lang w:val="nl-NL"/>
        </w:rPr>
        <w:t xml:space="preserve">triển khai thực hiện Nghị quyết số 67/2019/NQ-HĐND </w:t>
      </w:r>
      <w:r w:rsidR="008218BA" w:rsidRPr="008C30F1">
        <w:rPr>
          <w:rFonts w:ascii="Times New Roman" w:hAnsi="Times New Roman"/>
          <w:sz w:val="28"/>
          <w:szCs w:val="28"/>
          <w:lang w:val="de-DE"/>
        </w:rPr>
        <w:t>của UBND</w:t>
      </w:r>
      <w:r w:rsidR="004B786A" w:rsidRPr="008C30F1">
        <w:rPr>
          <w:rFonts w:ascii="Times New Roman" w:hAnsi="Times New Roman"/>
          <w:sz w:val="28"/>
          <w:szCs w:val="28"/>
          <w:lang w:val="de-DE"/>
        </w:rPr>
        <w:t xml:space="preserve"> các cấp chưa đánh giá được </w:t>
      </w:r>
      <w:r w:rsidR="008218BA" w:rsidRPr="008C30F1">
        <w:rPr>
          <w:rFonts w:ascii="Times New Roman" w:hAnsi="Times New Roman"/>
          <w:sz w:val="28"/>
          <w:szCs w:val="28"/>
          <w:lang w:val="de-DE"/>
        </w:rPr>
        <w:t xml:space="preserve">cụ thể </w:t>
      </w:r>
      <w:r w:rsidR="004B786A" w:rsidRPr="008C30F1">
        <w:rPr>
          <w:rFonts w:ascii="Times New Roman" w:hAnsi="Times New Roman"/>
          <w:sz w:val="28"/>
          <w:szCs w:val="28"/>
          <w:lang w:val="de-DE"/>
        </w:rPr>
        <w:t xml:space="preserve">tình hình hoạt động của </w:t>
      </w:r>
      <w:r w:rsidR="00DC4FBB">
        <w:rPr>
          <w:rFonts w:ascii="Times New Roman" w:hAnsi="Times New Roman"/>
          <w:sz w:val="28"/>
          <w:szCs w:val="28"/>
          <w:lang w:val="de-DE"/>
        </w:rPr>
        <w:t>“</w:t>
      </w:r>
      <w:r w:rsidR="004B786A" w:rsidRPr="008C30F1">
        <w:rPr>
          <w:rFonts w:ascii="Times New Roman" w:hAnsi="Times New Roman"/>
          <w:sz w:val="28"/>
          <w:szCs w:val="28"/>
          <w:lang w:val="de-DE"/>
        </w:rPr>
        <w:t>tín dụng đen</w:t>
      </w:r>
      <w:r w:rsidR="00DC4FBB" w:rsidRPr="00DC4FBB">
        <w:rPr>
          <w:rFonts w:ascii="Times New Roman" w:hAnsi="Times New Roman"/>
          <w:sz w:val="28"/>
          <w:szCs w:val="28"/>
          <w:lang w:val="en-US"/>
        </w:rPr>
        <w:t>”</w:t>
      </w:r>
      <w:r w:rsidR="004B786A" w:rsidRPr="008C30F1">
        <w:rPr>
          <w:rFonts w:ascii="Times New Roman" w:hAnsi="Times New Roman"/>
          <w:sz w:val="28"/>
          <w:szCs w:val="28"/>
          <w:lang w:val="de-DE"/>
        </w:rPr>
        <w:t xml:space="preserve"> trên địa bàn; các báo cáo của </w:t>
      </w:r>
      <w:r w:rsidR="005B0AA5" w:rsidRPr="008C30F1">
        <w:rPr>
          <w:rFonts w:ascii="Times New Roman" w:hAnsi="Times New Roman"/>
          <w:sz w:val="28"/>
          <w:szCs w:val="28"/>
          <w:lang w:val="de-DE"/>
        </w:rPr>
        <w:t xml:space="preserve">Ban đại diện </w:t>
      </w:r>
      <w:r w:rsidR="005B0AA5" w:rsidRPr="008C30F1">
        <w:rPr>
          <w:rFonts w:ascii="Times New Roman" w:hAnsi="Times New Roman"/>
          <w:sz w:val="28"/>
          <w:szCs w:val="28"/>
          <w:lang w:val="nl-NL"/>
        </w:rPr>
        <w:t xml:space="preserve">HĐQT NHCSXH các huyện, thành phố </w:t>
      </w:r>
      <w:r w:rsidR="004B786A" w:rsidRPr="008C30F1">
        <w:rPr>
          <w:rFonts w:ascii="Times New Roman" w:hAnsi="Times New Roman"/>
          <w:sz w:val="28"/>
          <w:szCs w:val="28"/>
          <w:lang w:val="nl-NL"/>
        </w:rPr>
        <w:t xml:space="preserve">do </w:t>
      </w:r>
      <w:r w:rsidRPr="008C30F1">
        <w:rPr>
          <w:rFonts w:ascii="Times New Roman" w:hAnsi="Times New Roman"/>
          <w:sz w:val="28"/>
          <w:szCs w:val="28"/>
          <w:lang w:val="nl-NL"/>
        </w:rPr>
        <w:t xml:space="preserve">NHCSXH </w:t>
      </w:r>
      <w:r w:rsidR="004B786A" w:rsidRPr="008C30F1">
        <w:rPr>
          <w:rFonts w:ascii="Times New Roman" w:hAnsi="Times New Roman"/>
          <w:sz w:val="28"/>
          <w:szCs w:val="28"/>
          <w:lang w:val="nl-NL"/>
        </w:rPr>
        <w:t>tham mưu nên</w:t>
      </w:r>
      <w:r w:rsidRPr="008C30F1">
        <w:rPr>
          <w:rFonts w:ascii="Times New Roman" w:hAnsi="Times New Roman"/>
          <w:sz w:val="28"/>
          <w:szCs w:val="28"/>
          <w:lang w:val="nl-NL"/>
        </w:rPr>
        <w:t xml:space="preserve"> </w:t>
      </w:r>
      <w:r w:rsidR="004B786A" w:rsidRPr="008C30F1">
        <w:rPr>
          <w:rFonts w:ascii="Times New Roman" w:hAnsi="Times New Roman"/>
          <w:sz w:val="28"/>
          <w:szCs w:val="28"/>
          <w:lang w:val="nl-NL"/>
        </w:rPr>
        <w:t xml:space="preserve">về </w:t>
      </w:r>
      <w:r w:rsidR="005B0AA5" w:rsidRPr="008C30F1">
        <w:rPr>
          <w:rFonts w:ascii="Times New Roman" w:hAnsi="Times New Roman"/>
          <w:sz w:val="28"/>
          <w:szCs w:val="28"/>
          <w:lang w:val="nl-NL"/>
        </w:rPr>
        <w:t>cơ bản giống nhau</w:t>
      </w:r>
      <w:r w:rsidR="006A375E">
        <w:rPr>
          <w:rFonts w:ascii="Times New Roman" w:hAnsi="Times New Roman"/>
          <w:sz w:val="28"/>
          <w:szCs w:val="28"/>
          <w:lang w:val="nl-NL"/>
        </w:rPr>
        <w:t xml:space="preserve"> về nội dung, </w:t>
      </w:r>
      <w:r w:rsidR="004B786A" w:rsidRPr="008C30F1">
        <w:rPr>
          <w:rFonts w:ascii="Times New Roman" w:hAnsi="Times New Roman"/>
          <w:sz w:val="28"/>
          <w:szCs w:val="28"/>
          <w:lang w:val="nl-NL"/>
        </w:rPr>
        <w:t xml:space="preserve">kiến nghị, đề xuất, chỉ thay </w:t>
      </w:r>
      <w:r w:rsidR="006A375E">
        <w:rPr>
          <w:rFonts w:ascii="Times New Roman" w:hAnsi="Times New Roman"/>
          <w:sz w:val="28"/>
          <w:szCs w:val="28"/>
          <w:lang w:val="nl-NL"/>
        </w:rPr>
        <w:t>phần</w:t>
      </w:r>
      <w:r w:rsidR="004B786A" w:rsidRPr="008C30F1">
        <w:rPr>
          <w:rFonts w:ascii="Times New Roman" w:hAnsi="Times New Roman"/>
          <w:sz w:val="28"/>
          <w:szCs w:val="28"/>
          <w:lang w:val="nl-NL"/>
        </w:rPr>
        <w:t xml:space="preserve"> số liệu thực hiện của từng địa phương, do đó chưa đánh giá rõ </w:t>
      </w:r>
      <w:r w:rsidR="009D1E9F" w:rsidRPr="008C30F1">
        <w:rPr>
          <w:rFonts w:ascii="Times New Roman" w:hAnsi="Times New Roman"/>
          <w:sz w:val="28"/>
          <w:szCs w:val="28"/>
          <w:lang w:val="nl-NL"/>
        </w:rPr>
        <w:t>việc triển khai thực hiện Nghị quyết</w:t>
      </w:r>
      <w:r w:rsidR="009D1E9F">
        <w:rPr>
          <w:rFonts w:ascii="Times New Roman" w:hAnsi="Times New Roman"/>
          <w:sz w:val="28"/>
          <w:szCs w:val="28"/>
          <w:lang w:val="nl-NL"/>
        </w:rPr>
        <w:t xml:space="preserve"> theo </w:t>
      </w:r>
      <w:r w:rsidR="004B786A" w:rsidRPr="008C30F1">
        <w:rPr>
          <w:rFonts w:ascii="Times New Roman" w:hAnsi="Times New Roman"/>
          <w:sz w:val="28"/>
          <w:szCs w:val="28"/>
          <w:lang w:val="nl-NL"/>
        </w:rPr>
        <w:t xml:space="preserve">đặc thù của </w:t>
      </w:r>
      <w:r w:rsidR="00F66332">
        <w:rPr>
          <w:rFonts w:ascii="Times New Roman" w:hAnsi="Times New Roman"/>
          <w:sz w:val="28"/>
          <w:szCs w:val="28"/>
          <w:lang w:val="nl-NL"/>
        </w:rPr>
        <w:t>mỗi</w:t>
      </w:r>
      <w:r w:rsidR="004B786A" w:rsidRPr="008C30F1">
        <w:rPr>
          <w:rFonts w:ascii="Times New Roman" w:hAnsi="Times New Roman"/>
          <w:sz w:val="28"/>
          <w:szCs w:val="28"/>
          <w:lang w:val="nl-NL"/>
        </w:rPr>
        <w:t xml:space="preserve"> địa phương</w:t>
      </w:r>
      <w:r w:rsidR="009D1E9F">
        <w:rPr>
          <w:rFonts w:ascii="Times New Roman" w:hAnsi="Times New Roman"/>
          <w:sz w:val="28"/>
          <w:szCs w:val="28"/>
          <w:lang w:val="nl-NL"/>
        </w:rPr>
        <w:t>.</w:t>
      </w:r>
      <w:r w:rsidR="005B0AA5" w:rsidRPr="008C30F1">
        <w:rPr>
          <w:rFonts w:ascii="Times New Roman" w:hAnsi="Times New Roman"/>
          <w:sz w:val="28"/>
          <w:szCs w:val="28"/>
          <w:lang w:val="nl-NL"/>
        </w:rPr>
        <w:t xml:space="preserve"> </w:t>
      </w:r>
    </w:p>
    <w:p w:rsidR="005515FA" w:rsidRPr="008C30F1" w:rsidRDefault="00474292"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1.2.</w:t>
      </w:r>
      <w:r w:rsidR="00AA303A" w:rsidRPr="008C30F1">
        <w:rPr>
          <w:rFonts w:ascii="Times New Roman" w:hAnsi="Times New Roman"/>
          <w:sz w:val="28"/>
          <w:szCs w:val="28"/>
          <w:lang w:val="de-DE"/>
        </w:rPr>
        <w:t xml:space="preserve"> Về </w:t>
      </w:r>
      <w:r w:rsidR="005515FA" w:rsidRPr="008C30F1">
        <w:rPr>
          <w:rFonts w:ascii="Times New Roman" w:hAnsi="Times New Roman"/>
          <w:sz w:val="28"/>
          <w:szCs w:val="28"/>
          <w:lang w:val="de-DE"/>
        </w:rPr>
        <w:t xml:space="preserve">việc triển khai từng nội dung cụ thể của </w:t>
      </w:r>
      <w:r w:rsidR="00787529" w:rsidRPr="008C30F1">
        <w:rPr>
          <w:rFonts w:ascii="Times New Roman" w:hAnsi="Times New Roman"/>
          <w:sz w:val="28"/>
          <w:szCs w:val="28"/>
          <w:lang w:val="de-DE"/>
        </w:rPr>
        <w:t>Đề án</w:t>
      </w:r>
      <w:r w:rsidR="005515FA" w:rsidRPr="008C30F1">
        <w:rPr>
          <w:rFonts w:ascii="Times New Roman" w:hAnsi="Times New Roman"/>
          <w:sz w:val="28"/>
          <w:szCs w:val="28"/>
          <w:lang w:val="de-DE"/>
        </w:rPr>
        <w:t>:</w:t>
      </w:r>
    </w:p>
    <w:p w:rsidR="00251B9E" w:rsidRPr="008C30F1" w:rsidRDefault="00251B9E"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xml:space="preserve">- Đối tượng vay bị hạn chế. Cụ thể: Đối tượng thực sự có nhu cầu vay để </w:t>
      </w:r>
      <w:r w:rsidR="00F66332">
        <w:rPr>
          <w:rFonts w:ascii="Times New Roman" w:hAnsi="Times New Roman"/>
          <w:sz w:val="28"/>
          <w:szCs w:val="28"/>
          <w:lang w:val="de-DE"/>
        </w:rPr>
        <w:t xml:space="preserve">kinh doanh, </w:t>
      </w:r>
      <w:r w:rsidRPr="008C30F1">
        <w:rPr>
          <w:rFonts w:ascii="Times New Roman" w:hAnsi="Times New Roman"/>
          <w:sz w:val="28"/>
          <w:szCs w:val="28"/>
          <w:lang w:val="de-DE"/>
        </w:rPr>
        <w:t xml:space="preserve">buôn bán nhỏ ở khu vực đô thị không được tiếp cận </w:t>
      </w:r>
      <w:r w:rsidR="00F66332">
        <w:rPr>
          <w:rFonts w:ascii="Times New Roman" w:hAnsi="Times New Roman"/>
          <w:sz w:val="28"/>
          <w:szCs w:val="28"/>
          <w:lang w:val="de-DE"/>
        </w:rPr>
        <w:t xml:space="preserve">nguồn vốn vay của Đề án </w:t>
      </w:r>
      <w:r w:rsidRPr="008C30F1">
        <w:rPr>
          <w:rFonts w:ascii="Times New Roman" w:hAnsi="Times New Roman"/>
          <w:sz w:val="28"/>
          <w:szCs w:val="28"/>
          <w:lang w:val="de-DE"/>
        </w:rPr>
        <w:t xml:space="preserve">vì hầu hết </w:t>
      </w:r>
      <w:r w:rsidR="00F66332">
        <w:rPr>
          <w:rFonts w:ascii="Times New Roman" w:hAnsi="Times New Roman"/>
          <w:sz w:val="28"/>
          <w:szCs w:val="28"/>
          <w:lang w:val="de-DE"/>
        </w:rPr>
        <w:t>các đối tượng này</w:t>
      </w:r>
      <w:r w:rsidRPr="008C30F1">
        <w:rPr>
          <w:rFonts w:ascii="Times New Roman" w:hAnsi="Times New Roman"/>
          <w:sz w:val="28"/>
          <w:szCs w:val="28"/>
          <w:lang w:val="de-DE"/>
        </w:rPr>
        <w:t xml:space="preserve"> không phải là hộ nghèo, hộ cận nghèo; đồng thời họ cũng không thuộc đối tượng để được điều tra, công nhận là hộ có mức sống trung bình vì không làm việc trong lĩnh vực nông nghiệp, lâm nghiệp, ngư nghiệp, diêm nghiệp theo quy định của Trung ương</w:t>
      </w:r>
      <w:r w:rsidRPr="008C30F1">
        <w:rPr>
          <w:rStyle w:val="FootnoteReference"/>
          <w:rFonts w:ascii="Times New Roman" w:hAnsi="Times New Roman"/>
          <w:sz w:val="28"/>
          <w:szCs w:val="28"/>
          <w:lang w:val="de-DE"/>
        </w:rPr>
        <w:footnoteReference w:id="6"/>
      </w:r>
      <w:r w:rsidRPr="008C30F1">
        <w:rPr>
          <w:rFonts w:ascii="Times New Roman" w:hAnsi="Times New Roman"/>
          <w:sz w:val="28"/>
          <w:szCs w:val="28"/>
          <w:lang w:val="de-DE"/>
        </w:rPr>
        <w:t>. Do đó, một trong những đối tượng mà Đề án hướng đến là các hộ trong lĩnh vực thương mại (mua bán nhỏ) sống ở khu vực đô thị có nhu cầu vay vốn để buôn bán nhỏ</w:t>
      </w:r>
      <w:r w:rsidR="00D3409E">
        <w:rPr>
          <w:rFonts w:ascii="Times New Roman" w:hAnsi="Times New Roman"/>
          <w:sz w:val="28"/>
          <w:szCs w:val="28"/>
          <w:lang w:val="de-DE"/>
        </w:rPr>
        <w:t>,</w:t>
      </w:r>
      <w:r w:rsidRPr="008C30F1">
        <w:rPr>
          <w:rFonts w:ascii="Times New Roman" w:hAnsi="Times New Roman"/>
          <w:sz w:val="28"/>
          <w:szCs w:val="28"/>
          <w:lang w:val="de-DE"/>
        </w:rPr>
        <w:t xml:space="preserve"> </w:t>
      </w:r>
      <w:r w:rsidR="00D3409E">
        <w:rPr>
          <w:rFonts w:ascii="Times New Roman" w:hAnsi="Times New Roman"/>
          <w:sz w:val="28"/>
          <w:szCs w:val="28"/>
          <w:lang w:val="de-DE"/>
        </w:rPr>
        <w:t>nhằm mục đích</w:t>
      </w:r>
      <w:r w:rsidRPr="008C30F1">
        <w:rPr>
          <w:rFonts w:ascii="Times New Roman" w:hAnsi="Times New Roman"/>
          <w:sz w:val="28"/>
          <w:szCs w:val="28"/>
          <w:lang w:val="de-DE"/>
        </w:rPr>
        <w:t xml:space="preserve"> hạn chế vay </w:t>
      </w:r>
      <w:r w:rsidR="00AE1039">
        <w:rPr>
          <w:rFonts w:ascii="Times New Roman" w:hAnsi="Times New Roman"/>
          <w:sz w:val="28"/>
          <w:szCs w:val="28"/>
          <w:lang w:val="de-DE"/>
        </w:rPr>
        <w:t>“</w:t>
      </w:r>
      <w:r w:rsidR="00AE1039" w:rsidRPr="008C30F1">
        <w:rPr>
          <w:rFonts w:ascii="Times New Roman" w:hAnsi="Times New Roman"/>
          <w:sz w:val="28"/>
          <w:szCs w:val="28"/>
          <w:lang w:val="de-DE"/>
        </w:rPr>
        <w:t>tín dụng đen</w:t>
      </w:r>
      <w:r w:rsidR="00AE1039" w:rsidRPr="00DC4FBB">
        <w:rPr>
          <w:rFonts w:ascii="Times New Roman" w:hAnsi="Times New Roman"/>
          <w:sz w:val="28"/>
          <w:szCs w:val="28"/>
          <w:lang w:val="en-US"/>
        </w:rPr>
        <w:t>”</w:t>
      </w:r>
      <w:r w:rsidRPr="008C30F1">
        <w:rPr>
          <w:rFonts w:ascii="Times New Roman" w:hAnsi="Times New Roman"/>
          <w:sz w:val="28"/>
          <w:szCs w:val="28"/>
          <w:lang w:val="de-DE"/>
        </w:rPr>
        <w:t xml:space="preserve"> trên thực tế đã không đạt được.</w:t>
      </w:r>
    </w:p>
    <w:p w:rsidR="005515FA" w:rsidRPr="008C30F1" w:rsidRDefault="005515FA" w:rsidP="008C30F1">
      <w:pPr>
        <w:spacing w:after="120" w:line="288" w:lineRule="auto"/>
        <w:jc w:val="both"/>
        <w:rPr>
          <w:rFonts w:ascii="Times New Roman" w:hAnsi="Times New Roman"/>
          <w:sz w:val="28"/>
          <w:szCs w:val="28"/>
          <w:lang w:val="de-DE"/>
        </w:rPr>
      </w:pPr>
      <w:r w:rsidRPr="008C30F1">
        <w:rPr>
          <w:rFonts w:ascii="Times New Roman" w:hAnsi="Times New Roman"/>
          <w:sz w:val="28"/>
          <w:szCs w:val="28"/>
          <w:lang w:val="de-DE"/>
        </w:rPr>
        <w:tab/>
        <w:t xml:space="preserve">- Điều kiện cho vay: </w:t>
      </w:r>
      <w:r w:rsidR="009E274F" w:rsidRPr="008C30F1">
        <w:rPr>
          <w:rFonts w:ascii="Times New Roman" w:hAnsi="Times New Roman"/>
          <w:sz w:val="28"/>
          <w:szCs w:val="28"/>
          <w:lang w:val="de-DE"/>
        </w:rPr>
        <w:t xml:space="preserve">Đối với điều kiện </w:t>
      </w:r>
      <w:r w:rsidR="005B2988" w:rsidRPr="008C30F1">
        <w:rPr>
          <w:rFonts w:ascii="Times New Roman" w:hAnsi="Times New Roman"/>
          <w:i/>
          <w:sz w:val="28"/>
          <w:szCs w:val="28"/>
          <w:lang w:val="de-DE"/>
        </w:rPr>
        <w:t>“</w:t>
      </w:r>
      <w:r w:rsidRPr="008C30F1">
        <w:rPr>
          <w:rFonts w:ascii="Times New Roman" w:hAnsi="Times New Roman"/>
          <w:i/>
          <w:sz w:val="28"/>
          <w:szCs w:val="28"/>
          <w:lang w:val="de-DE"/>
        </w:rPr>
        <w:t>Có khả năng tài chính trả nợ khi đến hạn</w:t>
      </w:r>
      <w:r w:rsidRPr="008C30F1">
        <w:rPr>
          <w:rFonts w:ascii="Times New Roman" w:hAnsi="Times New Roman"/>
          <w:i/>
          <w:sz w:val="28"/>
          <w:szCs w:val="28"/>
          <w:lang w:val="nl-NL"/>
        </w:rPr>
        <w:t>”</w:t>
      </w:r>
      <w:r w:rsidRPr="008C30F1">
        <w:rPr>
          <w:rFonts w:ascii="Times New Roman" w:hAnsi="Times New Roman"/>
          <w:sz w:val="28"/>
          <w:szCs w:val="28"/>
          <w:lang w:val="nl-NL"/>
        </w:rPr>
        <w:t xml:space="preserve"> </w:t>
      </w:r>
      <w:r w:rsidRPr="008C30F1">
        <w:rPr>
          <w:rFonts w:ascii="Times New Roman" w:hAnsi="Times New Roman"/>
          <w:sz w:val="28"/>
          <w:szCs w:val="28"/>
          <w:lang w:val="de-DE"/>
        </w:rPr>
        <w:t>gây khó khăn trong quá trình cho vay ở một số trường hợp sau:</w:t>
      </w:r>
    </w:p>
    <w:p w:rsidR="005515FA" w:rsidRPr="008C30F1" w:rsidRDefault="005515FA" w:rsidP="008C30F1">
      <w:pPr>
        <w:spacing w:after="120" w:line="288" w:lineRule="auto"/>
        <w:jc w:val="both"/>
        <w:rPr>
          <w:rFonts w:ascii="Times New Roman" w:hAnsi="Times New Roman"/>
          <w:sz w:val="28"/>
          <w:szCs w:val="28"/>
          <w:lang w:val="de-DE"/>
        </w:rPr>
      </w:pPr>
      <w:r w:rsidRPr="008C30F1">
        <w:rPr>
          <w:rFonts w:ascii="Times New Roman" w:hAnsi="Times New Roman"/>
          <w:sz w:val="28"/>
          <w:szCs w:val="28"/>
          <w:lang w:val="de-DE"/>
        </w:rPr>
        <w:tab/>
        <w:t>+ Trong trường hợp người đi vay có người thân bị tai nạn đột xuất cần cấp cứu ngay để bả</w:t>
      </w:r>
      <w:r w:rsidR="009E274F" w:rsidRPr="008C30F1">
        <w:rPr>
          <w:rFonts w:ascii="Times New Roman" w:hAnsi="Times New Roman"/>
          <w:sz w:val="28"/>
          <w:szCs w:val="28"/>
          <w:lang w:val="de-DE"/>
        </w:rPr>
        <w:t>o</w:t>
      </w:r>
      <w:r w:rsidRPr="008C30F1">
        <w:rPr>
          <w:rFonts w:ascii="Times New Roman" w:hAnsi="Times New Roman"/>
          <w:sz w:val="28"/>
          <w:szCs w:val="28"/>
          <w:lang w:val="de-DE"/>
        </w:rPr>
        <w:t xml:space="preserve"> </w:t>
      </w:r>
      <w:r w:rsidR="003F2886">
        <w:rPr>
          <w:rFonts w:ascii="Times New Roman" w:hAnsi="Times New Roman"/>
          <w:sz w:val="28"/>
          <w:szCs w:val="28"/>
          <w:lang w:val="de-DE"/>
        </w:rPr>
        <w:t xml:space="preserve">toàn </w:t>
      </w:r>
      <w:r w:rsidRPr="008C30F1">
        <w:rPr>
          <w:rFonts w:ascii="Times New Roman" w:hAnsi="Times New Roman"/>
          <w:sz w:val="28"/>
          <w:szCs w:val="28"/>
          <w:lang w:val="de-DE"/>
        </w:rPr>
        <w:t xml:space="preserve">tính mạng hoặc các trường hợp nguy cấp về sức khỏe mà phải thực hiện thủ tục xác minh khả năng tài chính là </w:t>
      </w:r>
      <w:r w:rsidR="0052753B">
        <w:rPr>
          <w:rFonts w:ascii="Times New Roman" w:hAnsi="Times New Roman"/>
          <w:sz w:val="28"/>
          <w:szCs w:val="28"/>
          <w:lang w:val="de-DE"/>
        </w:rPr>
        <w:t>chưa phù hợp</w:t>
      </w:r>
      <w:r w:rsidR="00CB5B19">
        <w:rPr>
          <w:rFonts w:ascii="Times New Roman" w:hAnsi="Times New Roman"/>
          <w:sz w:val="28"/>
          <w:szCs w:val="28"/>
          <w:lang w:val="de-DE"/>
        </w:rPr>
        <w:t>,</w:t>
      </w:r>
      <w:r w:rsidR="0052753B">
        <w:rPr>
          <w:rFonts w:ascii="Times New Roman" w:hAnsi="Times New Roman"/>
          <w:sz w:val="28"/>
          <w:szCs w:val="28"/>
          <w:lang w:val="de-DE"/>
        </w:rPr>
        <w:t xml:space="preserve"> </w:t>
      </w:r>
      <w:r w:rsidRPr="008C30F1">
        <w:rPr>
          <w:rFonts w:ascii="Times New Roman" w:hAnsi="Times New Roman"/>
          <w:sz w:val="28"/>
          <w:szCs w:val="28"/>
          <w:lang w:val="de-DE"/>
        </w:rPr>
        <w:t xml:space="preserve">kéo dài thời gian giải ngân, </w:t>
      </w:r>
      <w:r w:rsidR="00CB5B19">
        <w:rPr>
          <w:rFonts w:ascii="Times New Roman" w:hAnsi="Times New Roman"/>
          <w:sz w:val="28"/>
          <w:szCs w:val="28"/>
          <w:lang w:val="de-DE"/>
        </w:rPr>
        <w:t>xử lý trong</w:t>
      </w:r>
      <w:r w:rsidR="00784D62">
        <w:rPr>
          <w:rFonts w:ascii="Times New Roman" w:hAnsi="Times New Roman"/>
          <w:sz w:val="28"/>
          <w:szCs w:val="28"/>
          <w:lang w:val="de-DE"/>
        </w:rPr>
        <w:t xml:space="preserve"> một số tình huống </w:t>
      </w:r>
      <w:r w:rsidRPr="008C30F1">
        <w:rPr>
          <w:rFonts w:ascii="Times New Roman" w:hAnsi="Times New Roman"/>
          <w:sz w:val="28"/>
          <w:szCs w:val="28"/>
          <w:lang w:val="de-DE"/>
        </w:rPr>
        <w:t xml:space="preserve">cấp bách </w:t>
      </w:r>
      <w:r w:rsidR="00784D62">
        <w:rPr>
          <w:rFonts w:ascii="Times New Roman" w:hAnsi="Times New Roman"/>
          <w:sz w:val="28"/>
          <w:szCs w:val="28"/>
          <w:lang w:val="de-DE"/>
        </w:rPr>
        <w:t>liên quan đến sức khỏe</w:t>
      </w:r>
      <w:r w:rsidRPr="008C30F1">
        <w:rPr>
          <w:rFonts w:ascii="Times New Roman" w:hAnsi="Times New Roman"/>
          <w:sz w:val="28"/>
          <w:szCs w:val="28"/>
          <w:lang w:val="de-DE"/>
        </w:rPr>
        <w:t xml:space="preserve"> tính mạng con người.</w:t>
      </w:r>
    </w:p>
    <w:p w:rsidR="005515FA" w:rsidRPr="008C30F1" w:rsidRDefault="005515FA" w:rsidP="008C30F1">
      <w:pPr>
        <w:spacing w:after="120" w:line="288" w:lineRule="auto"/>
        <w:jc w:val="both"/>
        <w:rPr>
          <w:rFonts w:ascii="Times New Roman" w:hAnsi="Times New Roman"/>
          <w:sz w:val="28"/>
          <w:szCs w:val="28"/>
          <w:lang w:val="de-DE"/>
        </w:rPr>
      </w:pPr>
      <w:r w:rsidRPr="008C30F1">
        <w:rPr>
          <w:rFonts w:ascii="Times New Roman" w:hAnsi="Times New Roman"/>
          <w:sz w:val="28"/>
          <w:szCs w:val="28"/>
          <w:lang w:val="de-DE"/>
        </w:rPr>
        <w:lastRenderedPageBreak/>
        <w:tab/>
        <w:t xml:space="preserve">+ Tiêu chí </w:t>
      </w:r>
      <w:r w:rsidR="003447FC" w:rsidRPr="008C30F1">
        <w:rPr>
          <w:rFonts w:ascii="Times New Roman" w:hAnsi="Times New Roman"/>
          <w:sz w:val="28"/>
          <w:szCs w:val="28"/>
          <w:lang w:val="de-DE"/>
        </w:rPr>
        <w:t xml:space="preserve">để </w:t>
      </w:r>
      <w:r w:rsidRPr="008C30F1">
        <w:rPr>
          <w:rFonts w:ascii="Times New Roman" w:hAnsi="Times New Roman"/>
          <w:sz w:val="28"/>
          <w:szCs w:val="28"/>
          <w:lang w:val="de-DE"/>
        </w:rPr>
        <w:t xml:space="preserve">đánh giá </w:t>
      </w:r>
      <w:r w:rsidRPr="008C30F1">
        <w:rPr>
          <w:rFonts w:ascii="Times New Roman" w:hAnsi="Times New Roman"/>
          <w:i/>
          <w:sz w:val="28"/>
          <w:szCs w:val="28"/>
          <w:lang w:val="de-DE"/>
        </w:rPr>
        <w:t>“có khả năng tài chính</w:t>
      </w:r>
      <w:r w:rsidRPr="008C30F1">
        <w:rPr>
          <w:rFonts w:ascii="Times New Roman" w:hAnsi="Times New Roman"/>
          <w:i/>
          <w:sz w:val="28"/>
          <w:szCs w:val="28"/>
          <w:lang w:val="nl-NL"/>
        </w:rPr>
        <w:t>”</w:t>
      </w:r>
      <w:r w:rsidRPr="008C30F1">
        <w:rPr>
          <w:rFonts w:ascii="Times New Roman" w:hAnsi="Times New Roman"/>
          <w:sz w:val="28"/>
          <w:szCs w:val="28"/>
          <w:lang w:val="de-DE"/>
        </w:rPr>
        <w:t xml:space="preserve"> </w:t>
      </w:r>
      <w:r w:rsidR="00784D62">
        <w:rPr>
          <w:rFonts w:ascii="Times New Roman" w:hAnsi="Times New Roman"/>
          <w:sz w:val="28"/>
          <w:szCs w:val="28"/>
          <w:lang w:val="de-DE"/>
        </w:rPr>
        <w:t xml:space="preserve">thiếu rõ ràng, cụ thể nên việc đánh giá </w:t>
      </w:r>
      <w:r w:rsidRPr="008C30F1">
        <w:rPr>
          <w:rFonts w:ascii="Times New Roman" w:hAnsi="Times New Roman"/>
          <w:sz w:val="28"/>
          <w:szCs w:val="28"/>
          <w:lang w:val="de-DE"/>
        </w:rPr>
        <w:t>người vay “có khả năng tài chính trả nợ khi đến hạn</w:t>
      </w:r>
      <w:r w:rsidRPr="008C30F1">
        <w:rPr>
          <w:rFonts w:ascii="Times New Roman" w:hAnsi="Times New Roman"/>
          <w:sz w:val="28"/>
          <w:szCs w:val="28"/>
          <w:lang w:val="nl-NL"/>
        </w:rPr>
        <w:t>”</w:t>
      </w:r>
      <w:r w:rsidRPr="008C30F1">
        <w:rPr>
          <w:rFonts w:ascii="Times New Roman" w:hAnsi="Times New Roman"/>
          <w:i/>
          <w:sz w:val="28"/>
          <w:szCs w:val="28"/>
          <w:lang w:val="nl-NL"/>
        </w:rPr>
        <w:t xml:space="preserve"> </w:t>
      </w:r>
      <w:r w:rsidR="00784D62">
        <w:rPr>
          <w:rFonts w:ascii="Times New Roman" w:hAnsi="Times New Roman"/>
          <w:iCs/>
          <w:sz w:val="28"/>
          <w:szCs w:val="28"/>
          <w:lang w:val="nl-NL"/>
        </w:rPr>
        <w:t xml:space="preserve">của các tổ chức, cá nhân có liên quan còn </w:t>
      </w:r>
      <w:r w:rsidRPr="008C30F1">
        <w:rPr>
          <w:rFonts w:ascii="Times New Roman" w:hAnsi="Times New Roman"/>
          <w:sz w:val="28"/>
          <w:szCs w:val="28"/>
          <w:lang w:val="de-DE"/>
        </w:rPr>
        <w:t>rất chung chung.</w:t>
      </w:r>
      <w:r w:rsidR="00F90F05" w:rsidRPr="008C30F1">
        <w:rPr>
          <w:rFonts w:ascii="Times New Roman" w:hAnsi="Times New Roman"/>
          <w:sz w:val="28"/>
          <w:szCs w:val="28"/>
          <w:lang w:val="de-DE"/>
        </w:rPr>
        <w:t xml:space="preserve"> </w:t>
      </w:r>
    </w:p>
    <w:p w:rsidR="005515FA" w:rsidRPr="008C30F1"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Mục đích sử dụng vốn</w:t>
      </w:r>
      <w:r w:rsidR="00251B9E" w:rsidRPr="008C30F1">
        <w:rPr>
          <w:rFonts w:ascii="Times New Roman" w:hAnsi="Times New Roman"/>
          <w:sz w:val="28"/>
          <w:szCs w:val="28"/>
          <w:lang w:val="de-DE"/>
        </w:rPr>
        <w:t xml:space="preserve"> vay</w:t>
      </w:r>
      <w:r w:rsidRPr="008C30F1">
        <w:rPr>
          <w:rFonts w:ascii="Times New Roman" w:hAnsi="Times New Roman"/>
          <w:sz w:val="28"/>
          <w:szCs w:val="28"/>
          <w:lang w:val="de-DE"/>
        </w:rPr>
        <w:t xml:space="preserve">: Phần lớn các hộ được giải ngân </w:t>
      </w:r>
      <w:r w:rsidR="009C5324" w:rsidRPr="008C30F1">
        <w:rPr>
          <w:rFonts w:ascii="Times New Roman" w:hAnsi="Times New Roman"/>
          <w:sz w:val="28"/>
          <w:szCs w:val="28"/>
          <w:lang w:val="de-DE"/>
        </w:rPr>
        <w:t xml:space="preserve">cho </w:t>
      </w:r>
      <w:r w:rsidRPr="008C30F1">
        <w:rPr>
          <w:rFonts w:ascii="Times New Roman" w:hAnsi="Times New Roman"/>
          <w:sz w:val="28"/>
          <w:szCs w:val="28"/>
          <w:lang w:val="de-DE"/>
        </w:rPr>
        <w:t>vay với mục đích vay tiêu dùng</w:t>
      </w:r>
      <w:r w:rsidR="009E274F" w:rsidRPr="008C30F1">
        <w:rPr>
          <w:rFonts w:ascii="Times New Roman" w:hAnsi="Times New Roman"/>
          <w:sz w:val="28"/>
          <w:szCs w:val="28"/>
          <w:lang w:val="de-DE"/>
        </w:rPr>
        <w:t xml:space="preserve"> (</w:t>
      </w:r>
      <w:r w:rsidRPr="008C30F1">
        <w:rPr>
          <w:rFonts w:ascii="Times New Roman" w:hAnsi="Times New Roman"/>
          <w:sz w:val="28"/>
          <w:szCs w:val="28"/>
          <w:lang w:val="de-DE"/>
        </w:rPr>
        <w:t>chủ yếu là vay để chữa bệnh</w:t>
      </w:r>
      <w:r w:rsidR="009E274F" w:rsidRPr="008C30F1">
        <w:rPr>
          <w:rFonts w:ascii="Times New Roman" w:hAnsi="Times New Roman"/>
          <w:sz w:val="28"/>
          <w:szCs w:val="28"/>
          <w:lang w:val="de-DE"/>
        </w:rPr>
        <w:t xml:space="preserve"> hoặc</w:t>
      </w:r>
      <w:r w:rsidRPr="008C30F1">
        <w:rPr>
          <w:rFonts w:ascii="Times New Roman" w:hAnsi="Times New Roman"/>
          <w:sz w:val="28"/>
          <w:szCs w:val="28"/>
          <w:lang w:val="de-DE"/>
        </w:rPr>
        <w:t xml:space="preserve"> tai nạn đột xuất</w:t>
      </w:r>
      <w:r w:rsidR="009E274F" w:rsidRPr="008C30F1">
        <w:rPr>
          <w:rFonts w:ascii="Times New Roman" w:hAnsi="Times New Roman"/>
          <w:sz w:val="28"/>
          <w:szCs w:val="28"/>
          <w:lang w:val="de-DE"/>
        </w:rPr>
        <w:t>)</w:t>
      </w:r>
      <w:r w:rsidR="009C5324" w:rsidRPr="008C30F1">
        <w:rPr>
          <w:rFonts w:ascii="Times New Roman" w:hAnsi="Times New Roman"/>
          <w:sz w:val="28"/>
          <w:szCs w:val="28"/>
          <w:lang w:val="de-DE"/>
        </w:rPr>
        <w:t xml:space="preserve"> với </w:t>
      </w:r>
      <w:r w:rsidR="009E274F" w:rsidRPr="008C30F1">
        <w:rPr>
          <w:rFonts w:ascii="Times New Roman" w:hAnsi="Times New Roman"/>
          <w:sz w:val="28"/>
          <w:szCs w:val="28"/>
          <w:lang w:val="de-DE"/>
        </w:rPr>
        <w:t>m</w:t>
      </w:r>
      <w:r w:rsidRPr="008C30F1">
        <w:rPr>
          <w:rFonts w:ascii="Times New Roman" w:hAnsi="Times New Roman"/>
          <w:sz w:val="28"/>
          <w:szCs w:val="28"/>
          <w:lang w:val="de-DE"/>
        </w:rPr>
        <w:t xml:space="preserve">ức vay </w:t>
      </w:r>
      <w:r w:rsidR="009C5324" w:rsidRPr="008C30F1">
        <w:rPr>
          <w:rFonts w:ascii="Times New Roman" w:hAnsi="Times New Roman"/>
          <w:sz w:val="28"/>
          <w:szCs w:val="28"/>
          <w:lang w:val="de-DE"/>
        </w:rPr>
        <w:t xml:space="preserve">từ </w:t>
      </w:r>
      <w:r w:rsidRPr="008C30F1">
        <w:rPr>
          <w:rFonts w:ascii="Times New Roman" w:hAnsi="Times New Roman"/>
          <w:sz w:val="28"/>
          <w:szCs w:val="28"/>
          <w:lang w:val="de-DE"/>
        </w:rPr>
        <w:t>10</w:t>
      </w:r>
      <w:r w:rsidR="009C5324" w:rsidRPr="008C30F1">
        <w:rPr>
          <w:rFonts w:ascii="Times New Roman" w:hAnsi="Times New Roman"/>
          <w:sz w:val="28"/>
          <w:szCs w:val="28"/>
          <w:lang w:val="de-DE"/>
        </w:rPr>
        <w:t xml:space="preserve"> - </w:t>
      </w:r>
      <w:r w:rsidRPr="008C30F1">
        <w:rPr>
          <w:rFonts w:ascii="Times New Roman" w:hAnsi="Times New Roman"/>
          <w:sz w:val="28"/>
          <w:szCs w:val="28"/>
          <w:lang w:val="de-DE"/>
        </w:rPr>
        <w:t>30 triệu đồng</w:t>
      </w:r>
      <w:r w:rsidR="009C5324" w:rsidRPr="008C30F1">
        <w:rPr>
          <w:rFonts w:ascii="Times New Roman" w:hAnsi="Times New Roman"/>
          <w:sz w:val="28"/>
          <w:szCs w:val="28"/>
          <w:lang w:val="de-DE"/>
        </w:rPr>
        <w:t>; đối với mục đích v</w:t>
      </w:r>
      <w:r w:rsidRPr="008C30F1">
        <w:rPr>
          <w:rFonts w:ascii="Times New Roman" w:hAnsi="Times New Roman"/>
          <w:sz w:val="28"/>
          <w:szCs w:val="28"/>
          <w:lang w:val="de-DE"/>
        </w:rPr>
        <w:t xml:space="preserve">ay để </w:t>
      </w:r>
      <w:r w:rsidR="009C5324" w:rsidRPr="008C30F1">
        <w:rPr>
          <w:rFonts w:ascii="Times New Roman" w:hAnsi="Times New Roman"/>
          <w:sz w:val="28"/>
          <w:szCs w:val="28"/>
          <w:lang w:val="de-DE"/>
        </w:rPr>
        <w:t xml:space="preserve">kinh doanh, </w:t>
      </w:r>
      <w:r w:rsidRPr="008C30F1">
        <w:rPr>
          <w:rFonts w:ascii="Times New Roman" w:hAnsi="Times New Roman"/>
          <w:sz w:val="28"/>
          <w:szCs w:val="28"/>
          <w:lang w:val="de-DE"/>
        </w:rPr>
        <w:t>buôn bán nhỏ</w:t>
      </w:r>
      <w:r w:rsidR="009C5324" w:rsidRPr="008C30F1">
        <w:rPr>
          <w:rFonts w:ascii="Times New Roman" w:hAnsi="Times New Roman"/>
          <w:sz w:val="28"/>
          <w:szCs w:val="28"/>
          <w:lang w:val="de-DE"/>
        </w:rPr>
        <w:t xml:space="preserve"> rất hạn chế</w:t>
      </w:r>
      <w:r w:rsidR="009C5324" w:rsidRPr="008C30F1">
        <w:rPr>
          <w:rFonts w:ascii="Times New Roman" w:hAnsi="Times New Roman"/>
          <w:sz w:val="28"/>
          <w:szCs w:val="28"/>
          <w:vertAlign w:val="superscript"/>
          <w:lang w:val="nl-NL"/>
        </w:rPr>
        <w:t>(</w:t>
      </w:r>
      <w:r w:rsidR="009C5324" w:rsidRPr="008C30F1">
        <w:rPr>
          <w:vertAlign w:val="superscript"/>
          <w:lang w:val="nl-NL"/>
        </w:rPr>
        <w:footnoteReference w:id="7"/>
      </w:r>
      <w:r w:rsidR="009C5324" w:rsidRPr="008C30F1">
        <w:rPr>
          <w:rFonts w:ascii="Times New Roman" w:hAnsi="Times New Roman"/>
          <w:sz w:val="28"/>
          <w:szCs w:val="28"/>
          <w:vertAlign w:val="superscript"/>
          <w:lang w:val="nl-NL"/>
        </w:rPr>
        <w:t>)</w:t>
      </w:r>
      <w:r w:rsidR="009C5324" w:rsidRPr="008C30F1">
        <w:rPr>
          <w:rFonts w:ascii="Times New Roman" w:hAnsi="Times New Roman"/>
          <w:sz w:val="28"/>
          <w:szCs w:val="28"/>
          <w:lang w:val="de-DE"/>
        </w:rPr>
        <w:t>, nguyên nhân:</w:t>
      </w:r>
      <w:r w:rsidRPr="008C30F1">
        <w:rPr>
          <w:rFonts w:ascii="Times New Roman" w:hAnsi="Times New Roman"/>
          <w:sz w:val="28"/>
          <w:szCs w:val="28"/>
          <w:lang w:val="de-DE"/>
        </w:rPr>
        <w:t xml:space="preserve"> </w:t>
      </w:r>
    </w:p>
    <w:p w:rsidR="00E63578"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xml:space="preserve">+ </w:t>
      </w:r>
      <w:r w:rsidR="009C5324" w:rsidRPr="008C30F1">
        <w:rPr>
          <w:rFonts w:ascii="Times New Roman" w:hAnsi="Times New Roman"/>
          <w:sz w:val="28"/>
          <w:szCs w:val="28"/>
          <w:lang w:val="de-DE"/>
        </w:rPr>
        <w:t xml:space="preserve">Đối với quy định vay </w:t>
      </w:r>
      <w:r w:rsidR="00395122" w:rsidRPr="008C30F1">
        <w:rPr>
          <w:rFonts w:ascii="Times New Roman" w:hAnsi="Times New Roman"/>
          <w:i/>
          <w:sz w:val="28"/>
          <w:szCs w:val="28"/>
          <w:lang w:val="de-DE"/>
        </w:rPr>
        <w:t>“</w:t>
      </w:r>
      <w:r w:rsidR="009C5324" w:rsidRPr="008C30F1">
        <w:rPr>
          <w:rFonts w:ascii="Times New Roman" w:hAnsi="Times New Roman"/>
          <w:i/>
          <w:sz w:val="28"/>
          <w:szCs w:val="28"/>
          <w:lang w:val="de-DE"/>
        </w:rPr>
        <w:t>Để kinh doanh, buôn bán nhỏ</w:t>
      </w:r>
      <w:r w:rsidR="00395122" w:rsidRPr="008C30F1">
        <w:rPr>
          <w:rFonts w:ascii="Times New Roman" w:hAnsi="Times New Roman"/>
          <w:i/>
          <w:sz w:val="28"/>
          <w:szCs w:val="28"/>
          <w:lang w:val="nl-NL"/>
        </w:rPr>
        <w:t>”</w:t>
      </w:r>
      <w:r w:rsidR="00E63578">
        <w:rPr>
          <w:rFonts w:ascii="Times New Roman" w:hAnsi="Times New Roman"/>
          <w:sz w:val="28"/>
          <w:szCs w:val="28"/>
          <w:lang w:val="de-DE"/>
        </w:rPr>
        <w:t>: Đ</w:t>
      </w:r>
      <w:r w:rsidR="009C5324" w:rsidRPr="008C30F1">
        <w:rPr>
          <w:rFonts w:ascii="Times New Roman" w:hAnsi="Times New Roman"/>
          <w:sz w:val="28"/>
          <w:szCs w:val="28"/>
          <w:lang w:val="de-DE"/>
        </w:rPr>
        <w:t xml:space="preserve">iều kiện </w:t>
      </w:r>
      <w:r w:rsidR="00E63578">
        <w:rPr>
          <w:rFonts w:ascii="Times New Roman" w:hAnsi="Times New Roman"/>
          <w:sz w:val="28"/>
          <w:szCs w:val="28"/>
          <w:lang w:val="de-DE"/>
        </w:rPr>
        <w:t xml:space="preserve">để được vay </w:t>
      </w:r>
      <w:r w:rsidR="009C5324" w:rsidRPr="008C30F1">
        <w:rPr>
          <w:rFonts w:ascii="Times New Roman" w:hAnsi="Times New Roman"/>
          <w:sz w:val="28"/>
          <w:szCs w:val="28"/>
          <w:lang w:val="de-DE"/>
        </w:rPr>
        <w:t xml:space="preserve">là không còn dư nợ </w:t>
      </w:r>
      <w:r w:rsidR="00E63578">
        <w:rPr>
          <w:rFonts w:ascii="Times New Roman" w:hAnsi="Times New Roman"/>
          <w:sz w:val="28"/>
          <w:szCs w:val="28"/>
          <w:lang w:val="de-DE"/>
        </w:rPr>
        <w:t xml:space="preserve">của </w:t>
      </w:r>
      <w:r w:rsidR="009C5324" w:rsidRPr="008C30F1">
        <w:rPr>
          <w:rFonts w:ascii="Times New Roman" w:hAnsi="Times New Roman"/>
          <w:sz w:val="28"/>
          <w:szCs w:val="28"/>
          <w:lang w:val="de-DE"/>
        </w:rPr>
        <w:t xml:space="preserve">các Chương trình tín dụng tại NHCSXH. </w:t>
      </w:r>
      <w:r w:rsidR="00E63578">
        <w:rPr>
          <w:rFonts w:ascii="Times New Roman" w:hAnsi="Times New Roman"/>
          <w:sz w:val="28"/>
          <w:szCs w:val="28"/>
          <w:lang w:val="de-DE"/>
        </w:rPr>
        <w:t>Thực tế 04 nhóm đối tượng được vay vốn theo Đề án đều đang có dư nợ tại NHSCXH, vì vậy các đối tượng này đều không được tiếp cận nguồn vốn vay cho mục đích kinh doanh, buôn bán nhỏ.</w:t>
      </w:r>
    </w:p>
    <w:p w:rsidR="00BD56C3"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Hạn mức vay tối đa 30 triệu đồng</w:t>
      </w:r>
      <w:r w:rsidR="00BD56C3">
        <w:rPr>
          <w:rFonts w:ascii="Times New Roman" w:hAnsi="Times New Roman"/>
          <w:sz w:val="28"/>
          <w:szCs w:val="28"/>
          <w:lang w:val="de-DE"/>
        </w:rPr>
        <w:t>/hộ/cá nhân</w:t>
      </w:r>
      <w:r w:rsidRPr="008C30F1">
        <w:rPr>
          <w:rFonts w:ascii="Times New Roman" w:hAnsi="Times New Roman"/>
          <w:sz w:val="28"/>
          <w:szCs w:val="28"/>
          <w:lang w:val="de-DE"/>
        </w:rPr>
        <w:t xml:space="preserve">, lãi suất </w:t>
      </w:r>
      <w:r w:rsidR="00BD56C3">
        <w:rPr>
          <w:rFonts w:ascii="Times New Roman" w:hAnsi="Times New Roman"/>
          <w:sz w:val="28"/>
          <w:szCs w:val="28"/>
          <w:lang w:val="de-DE"/>
        </w:rPr>
        <w:t xml:space="preserve">vay </w:t>
      </w:r>
      <w:r w:rsidRPr="008C30F1">
        <w:rPr>
          <w:rFonts w:ascii="Times New Roman" w:hAnsi="Times New Roman"/>
          <w:sz w:val="28"/>
          <w:szCs w:val="28"/>
          <w:lang w:val="de-DE"/>
        </w:rPr>
        <w:t xml:space="preserve">áp dụng như lãi suất cho vay </w:t>
      </w:r>
      <w:r w:rsidR="00BD56C3">
        <w:rPr>
          <w:rFonts w:ascii="Times New Roman" w:hAnsi="Times New Roman"/>
          <w:sz w:val="28"/>
          <w:szCs w:val="28"/>
          <w:lang w:val="de-DE"/>
        </w:rPr>
        <w:t xml:space="preserve">đối với </w:t>
      </w:r>
      <w:r w:rsidRPr="008C30F1">
        <w:rPr>
          <w:rFonts w:ascii="Times New Roman" w:hAnsi="Times New Roman"/>
          <w:sz w:val="28"/>
          <w:szCs w:val="28"/>
          <w:lang w:val="de-DE"/>
        </w:rPr>
        <w:t>hộ cận nghèo, thời hạn cho vay tối đa 36 tháng (bao gồm cả thời gian gia hạn nợ) để kinh doanh, buôn bán nhỏ</w:t>
      </w:r>
      <w:r w:rsidR="00BD56C3">
        <w:rPr>
          <w:rFonts w:ascii="Times New Roman" w:hAnsi="Times New Roman"/>
          <w:sz w:val="28"/>
          <w:szCs w:val="28"/>
          <w:lang w:val="de-DE"/>
        </w:rPr>
        <w:t>. Quy định này của Đề án không ưu việt hơn so với các Chương trình tín dụng tại NHCSXH, do đó người có nhu cầu vay đều lựa các Chương trình tín khác.</w:t>
      </w:r>
    </w:p>
    <w:p w:rsidR="005515FA" w:rsidRPr="008C30F1"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xml:space="preserve">- </w:t>
      </w:r>
      <w:r w:rsidR="00BD56C3">
        <w:rPr>
          <w:rFonts w:ascii="Times New Roman" w:hAnsi="Times New Roman"/>
          <w:sz w:val="28"/>
          <w:szCs w:val="28"/>
          <w:lang w:val="de-DE"/>
        </w:rPr>
        <w:t>Hạn mức</w:t>
      </w:r>
      <w:r w:rsidRPr="008C30F1">
        <w:rPr>
          <w:rFonts w:ascii="Times New Roman" w:hAnsi="Times New Roman"/>
          <w:sz w:val="28"/>
          <w:szCs w:val="28"/>
          <w:lang w:val="de-DE"/>
        </w:rPr>
        <w:t xml:space="preserve"> cho vay, thời hạn cho vay, </w:t>
      </w:r>
      <w:r w:rsidR="00BD56C3">
        <w:rPr>
          <w:rFonts w:ascii="Times New Roman" w:hAnsi="Times New Roman"/>
          <w:sz w:val="28"/>
          <w:szCs w:val="28"/>
          <w:lang w:val="de-DE"/>
        </w:rPr>
        <w:t xml:space="preserve">mức </w:t>
      </w:r>
      <w:r w:rsidRPr="008C30F1">
        <w:rPr>
          <w:rFonts w:ascii="Times New Roman" w:hAnsi="Times New Roman"/>
          <w:sz w:val="28"/>
          <w:szCs w:val="28"/>
          <w:lang w:val="de-DE"/>
        </w:rPr>
        <w:t xml:space="preserve">lãi suất: </w:t>
      </w:r>
      <w:r w:rsidR="00BD56C3">
        <w:rPr>
          <w:rFonts w:ascii="Times New Roman" w:hAnsi="Times New Roman"/>
          <w:sz w:val="28"/>
          <w:szCs w:val="28"/>
          <w:lang w:val="de-DE"/>
        </w:rPr>
        <w:t>Hạn mức</w:t>
      </w:r>
      <w:r w:rsidRPr="008C30F1">
        <w:rPr>
          <w:rFonts w:ascii="Times New Roman" w:hAnsi="Times New Roman"/>
          <w:sz w:val="28"/>
          <w:szCs w:val="28"/>
          <w:lang w:val="de-DE"/>
        </w:rPr>
        <w:t xml:space="preserve"> vay 30 triệu</w:t>
      </w:r>
      <w:r w:rsidR="00BD56C3">
        <w:rPr>
          <w:rFonts w:ascii="Times New Roman" w:hAnsi="Times New Roman"/>
          <w:sz w:val="28"/>
          <w:szCs w:val="28"/>
          <w:lang w:val="de-DE"/>
        </w:rPr>
        <w:t xml:space="preserve"> đồng/hộ/cá nhân</w:t>
      </w:r>
      <w:r w:rsidRPr="008C30F1">
        <w:rPr>
          <w:rFonts w:ascii="Times New Roman" w:hAnsi="Times New Roman"/>
          <w:sz w:val="28"/>
          <w:szCs w:val="28"/>
          <w:lang w:val="de-DE"/>
        </w:rPr>
        <w:t xml:space="preserve"> trong nhiều trường hợp chưa đáp ứng được nhu cầu vay </w:t>
      </w:r>
      <w:r w:rsidR="00BD56C3">
        <w:rPr>
          <w:rFonts w:ascii="Times New Roman" w:hAnsi="Times New Roman"/>
          <w:sz w:val="28"/>
          <w:szCs w:val="28"/>
          <w:lang w:val="de-DE"/>
        </w:rPr>
        <w:t xml:space="preserve">thực tế </w:t>
      </w:r>
      <w:r w:rsidRPr="008C30F1">
        <w:rPr>
          <w:rFonts w:ascii="Times New Roman" w:hAnsi="Times New Roman"/>
          <w:sz w:val="28"/>
          <w:szCs w:val="28"/>
          <w:lang w:val="de-DE"/>
        </w:rPr>
        <w:t xml:space="preserve">của người dân, nhất là trong các trường hợp </w:t>
      </w:r>
      <w:r w:rsidR="00BD56C3">
        <w:rPr>
          <w:rFonts w:ascii="Times New Roman" w:hAnsi="Times New Roman"/>
          <w:sz w:val="28"/>
          <w:szCs w:val="28"/>
          <w:lang w:val="de-DE"/>
        </w:rPr>
        <w:t xml:space="preserve">mắc bệnh hiểm nghèo, </w:t>
      </w:r>
      <w:r w:rsidRPr="008C30F1">
        <w:rPr>
          <w:rFonts w:ascii="Times New Roman" w:hAnsi="Times New Roman"/>
          <w:sz w:val="28"/>
          <w:szCs w:val="28"/>
          <w:lang w:val="de-DE"/>
        </w:rPr>
        <w:t xml:space="preserve">cần điều trị dài ngày, phải chi </w:t>
      </w:r>
      <w:r w:rsidR="00BD56C3">
        <w:rPr>
          <w:rFonts w:ascii="Times New Roman" w:hAnsi="Times New Roman"/>
          <w:sz w:val="28"/>
          <w:szCs w:val="28"/>
          <w:lang w:val="de-DE"/>
        </w:rPr>
        <w:t>trả các chi phí</w:t>
      </w:r>
      <w:r w:rsidRPr="008C30F1">
        <w:rPr>
          <w:rFonts w:ascii="Times New Roman" w:hAnsi="Times New Roman"/>
          <w:sz w:val="28"/>
          <w:szCs w:val="28"/>
          <w:lang w:val="de-DE"/>
        </w:rPr>
        <w:t xml:space="preserve"> nằm ngoài danh mục chi trả của Bảo hiểm y tế; </w:t>
      </w:r>
      <w:r w:rsidR="00BD56C3">
        <w:rPr>
          <w:rFonts w:ascii="Times New Roman" w:hAnsi="Times New Roman"/>
          <w:sz w:val="28"/>
          <w:szCs w:val="28"/>
          <w:lang w:val="de-DE"/>
        </w:rPr>
        <w:t>mức</w:t>
      </w:r>
      <w:r w:rsidRPr="008C30F1">
        <w:rPr>
          <w:rFonts w:ascii="Times New Roman" w:hAnsi="Times New Roman"/>
          <w:sz w:val="28"/>
          <w:szCs w:val="28"/>
          <w:lang w:val="de-DE"/>
        </w:rPr>
        <w:t xml:space="preserve"> lãi suất 7,92%/năm là cao </w:t>
      </w:r>
      <w:r w:rsidR="00BD56C3">
        <w:rPr>
          <w:rFonts w:ascii="Times New Roman" w:hAnsi="Times New Roman"/>
          <w:sz w:val="28"/>
          <w:szCs w:val="28"/>
          <w:lang w:val="de-DE"/>
        </w:rPr>
        <w:t>đối</w:t>
      </w:r>
      <w:r w:rsidRPr="008C30F1">
        <w:rPr>
          <w:rFonts w:ascii="Times New Roman" w:hAnsi="Times New Roman"/>
          <w:sz w:val="28"/>
          <w:szCs w:val="28"/>
          <w:lang w:val="de-DE"/>
        </w:rPr>
        <w:t xml:space="preserve"> với người đi vay là hộ nghèo cần chữa bệnh dài ngày; thời hạn </w:t>
      </w:r>
      <w:r w:rsidR="00560111" w:rsidRPr="008C30F1">
        <w:rPr>
          <w:rFonts w:ascii="Times New Roman" w:hAnsi="Times New Roman"/>
          <w:sz w:val="28"/>
          <w:szCs w:val="28"/>
          <w:lang w:val="de-DE"/>
        </w:rPr>
        <w:t>cho vay không quá</w:t>
      </w:r>
      <w:r w:rsidRPr="008C30F1">
        <w:rPr>
          <w:rFonts w:ascii="Times New Roman" w:hAnsi="Times New Roman"/>
          <w:sz w:val="28"/>
          <w:szCs w:val="28"/>
          <w:lang w:val="de-DE"/>
        </w:rPr>
        <w:t xml:space="preserve"> 24 tháng là chưa đủ thời gian để người vay trả nợ.</w:t>
      </w:r>
    </w:p>
    <w:p w:rsidR="002007FB" w:rsidRPr="008C30F1"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t>- Quy trình, thủ tục cho vay đối với người chưa vay vốn tại NHCSXH:</w:t>
      </w:r>
      <w:r w:rsidR="002007FB" w:rsidRPr="008C30F1">
        <w:rPr>
          <w:rFonts w:ascii="Times New Roman" w:hAnsi="Times New Roman"/>
          <w:sz w:val="28"/>
          <w:szCs w:val="28"/>
          <w:lang w:val="de-DE"/>
        </w:rPr>
        <w:t xml:space="preserve"> Đối với quy đị</w:t>
      </w:r>
      <w:r w:rsidR="008A0E69" w:rsidRPr="008C30F1">
        <w:rPr>
          <w:rFonts w:ascii="Times New Roman" w:hAnsi="Times New Roman"/>
          <w:sz w:val="28"/>
          <w:szCs w:val="28"/>
          <w:lang w:val="de-DE"/>
        </w:rPr>
        <w:t xml:space="preserve">nh </w:t>
      </w:r>
      <w:r w:rsidR="008A0E69" w:rsidRPr="008C30F1">
        <w:rPr>
          <w:rFonts w:ascii="Times New Roman" w:hAnsi="Times New Roman"/>
          <w:i/>
          <w:sz w:val="28"/>
          <w:szCs w:val="28"/>
          <w:lang w:val="de-DE"/>
        </w:rPr>
        <w:t>“</w:t>
      </w:r>
      <w:r w:rsidR="002007FB" w:rsidRPr="008C30F1">
        <w:rPr>
          <w:rFonts w:ascii="Times New Roman" w:hAnsi="Times New Roman"/>
          <w:i/>
          <w:sz w:val="28"/>
          <w:szCs w:val="28"/>
          <w:lang w:val="de-DE"/>
        </w:rPr>
        <w:t>NHCSXH nơi cho vay kiểm tra nếu đủ điều kiện thì phê duyệt</w:t>
      </w:r>
      <w:r w:rsidR="008A0E69" w:rsidRPr="008C30F1">
        <w:rPr>
          <w:rFonts w:ascii="Times New Roman" w:hAnsi="Times New Roman"/>
          <w:i/>
          <w:sz w:val="28"/>
          <w:szCs w:val="28"/>
          <w:lang w:val="nl-NL"/>
        </w:rPr>
        <w:t>”</w:t>
      </w:r>
      <w:r w:rsidR="002007FB" w:rsidRPr="008C30F1">
        <w:rPr>
          <w:rFonts w:ascii="Times New Roman" w:hAnsi="Times New Roman"/>
          <w:sz w:val="28"/>
          <w:szCs w:val="28"/>
          <w:lang w:val="de-DE"/>
        </w:rPr>
        <w:t xml:space="preserve"> làm kéo dài thời gian xét duyệt giải ngân cho vay</w:t>
      </w:r>
      <w:r w:rsidR="00BD56C3">
        <w:rPr>
          <w:rFonts w:ascii="Times New Roman" w:hAnsi="Times New Roman"/>
          <w:sz w:val="28"/>
          <w:szCs w:val="28"/>
          <w:lang w:val="de-DE"/>
        </w:rPr>
        <w:t>,</w:t>
      </w:r>
      <w:r w:rsidR="002007FB" w:rsidRPr="008C30F1">
        <w:rPr>
          <w:rFonts w:ascii="Times New Roman" w:hAnsi="Times New Roman"/>
          <w:sz w:val="28"/>
          <w:szCs w:val="28"/>
          <w:lang w:val="de-DE"/>
        </w:rPr>
        <w:t xml:space="preserve"> vì </w:t>
      </w:r>
      <w:r w:rsidR="00BD56C3">
        <w:rPr>
          <w:rFonts w:ascii="Times New Roman" w:hAnsi="Times New Roman"/>
          <w:sz w:val="28"/>
          <w:szCs w:val="28"/>
          <w:lang w:val="de-DE"/>
        </w:rPr>
        <w:t xml:space="preserve">theo quy định của </w:t>
      </w:r>
      <w:r w:rsidR="002007FB" w:rsidRPr="008C30F1">
        <w:rPr>
          <w:rFonts w:ascii="Times New Roman" w:hAnsi="Times New Roman"/>
          <w:sz w:val="28"/>
          <w:szCs w:val="28"/>
          <w:lang w:val="de-DE"/>
        </w:rPr>
        <w:t xml:space="preserve">Đề án </w:t>
      </w:r>
      <w:r w:rsidR="00BD56C3">
        <w:rPr>
          <w:rFonts w:ascii="Times New Roman" w:hAnsi="Times New Roman"/>
          <w:sz w:val="28"/>
          <w:szCs w:val="28"/>
          <w:lang w:val="de-DE"/>
        </w:rPr>
        <w:t>T</w:t>
      </w:r>
      <w:r w:rsidR="002007FB" w:rsidRPr="008C30F1">
        <w:rPr>
          <w:rFonts w:ascii="Times New Roman" w:hAnsi="Times New Roman"/>
          <w:sz w:val="28"/>
          <w:szCs w:val="28"/>
          <w:lang w:val="de-DE"/>
        </w:rPr>
        <w:t>hôn trưởng/</w:t>
      </w:r>
      <w:r w:rsidR="00BD56C3">
        <w:rPr>
          <w:rFonts w:ascii="Times New Roman" w:hAnsi="Times New Roman"/>
          <w:sz w:val="28"/>
          <w:szCs w:val="28"/>
          <w:lang w:val="de-DE"/>
        </w:rPr>
        <w:t>T</w:t>
      </w:r>
      <w:r w:rsidR="002007FB" w:rsidRPr="008C30F1">
        <w:rPr>
          <w:rFonts w:ascii="Times New Roman" w:hAnsi="Times New Roman"/>
          <w:sz w:val="28"/>
          <w:szCs w:val="28"/>
          <w:lang w:val="de-DE"/>
        </w:rPr>
        <w:t xml:space="preserve">ổ trưởng khu dân cư có trách nhiệm kiểm tra hồ sơ của người đề nghị vay, nếu đúng đối tượng và đảm bảo các điều kiện vay vốn thì xác nhận, báo cáo UBND cấp xã xác nhận chuyển NHCSXH nơi cho </w:t>
      </w:r>
      <w:r w:rsidR="00F16ADA" w:rsidRPr="008C30F1">
        <w:rPr>
          <w:rFonts w:ascii="Times New Roman" w:hAnsi="Times New Roman"/>
          <w:sz w:val="28"/>
          <w:szCs w:val="28"/>
          <w:lang w:val="de-DE"/>
        </w:rPr>
        <w:t>vay xem xét</w:t>
      </w:r>
      <w:r w:rsidR="00BD56C3">
        <w:rPr>
          <w:rFonts w:ascii="Times New Roman" w:hAnsi="Times New Roman"/>
          <w:sz w:val="28"/>
          <w:szCs w:val="28"/>
          <w:lang w:val="de-DE"/>
        </w:rPr>
        <w:t>, quyết định</w:t>
      </w:r>
      <w:r w:rsidR="00F16ADA" w:rsidRPr="008C30F1">
        <w:rPr>
          <w:rFonts w:ascii="Times New Roman" w:hAnsi="Times New Roman"/>
          <w:sz w:val="28"/>
          <w:szCs w:val="28"/>
          <w:lang w:val="de-DE"/>
        </w:rPr>
        <w:t>. Tuy nhiên, Đ</w:t>
      </w:r>
      <w:r w:rsidR="002007FB" w:rsidRPr="008C30F1">
        <w:rPr>
          <w:rFonts w:ascii="Times New Roman" w:hAnsi="Times New Roman"/>
          <w:sz w:val="28"/>
          <w:szCs w:val="28"/>
          <w:lang w:val="de-DE"/>
        </w:rPr>
        <w:t>ề án lại quy đị</w:t>
      </w:r>
      <w:r w:rsidR="00F16ADA" w:rsidRPr="008C30F1">
        <w:rPr>
          <w:rFonts w:ascii="Times New Roman" w:hAnsi="Times New Roman"/>
          <w:sz w:val="28"/>
          <w:szCs w:val="28"/>
          <w:lang w:val="de-DE"/>
        </w:rPr>
        <w:t>nh n</w:t>
      </w:r>
      <w:r w:rsidR="002007FB" w:rsidRPr="008C30F1">
        <w:rPr>
          <w:rFonts w:ascii="Times New Roman" w:hAnsi="Times New Roman"/>
          <w:sz w:val="28"/>
          <w:szCs w:val="28"/>
          <w:lang w:val="de-DE"/>
        </w:rPr>
        <w:t>gân hàng nơi cho vay phải kiểm tra lại điều kiện, phát sinh thủ tục cán bộ ngân hàng phải đi kiểm tra thực tế một lần nữa, lặp lại quy trình củ</w:t>
      </w:r>
      <w:r w:rsidR="00CE1FC7">
        <w:rPr>
          <w:rFonts w:ascii="Times New Roman" w:hAnsi="Times New Roman"/>
          <w:sz w:val="28"/>
          <w:szCs w:val="28"/>
          <w:lang w:val="de-DE"/>
        </w:rPr>
        <w:t>a T</w:t>
      </w:r>
      <w:r w:rsidR="002007FB" w:rsidRPr="008C30F1">
        <w:rPr>
          <w:rFonts w:ascii="Times New Roman" w:hAnsi="Times New Roman"/>
          <w:sz w:val="28"/>
          <w:szCs w:val="28"/>
          <w:lang w:val="de-DE"/>
        </w:rPr>
        <w:t>hôn trưở</w:t>
      </w:r>
      <w:r w:rsidR="00CE1FC7">
        <w:rPr>
          <w:rFonts w:ascii="Times New Roman" w:hAnsi="Times New Roman"/>
          <w:sz w:val="28"/>
          <w:szCs w:val="28"/>
          <w:lang w:val="de-DE"/>
        </w:rPr>
        <w:t>ng/T</w:t>
      </w:r>
      <w:r w:rsidR="002007FB" w:rsidRPr="008C30F1">
        <w:rPr>
          <w:rFonts w:ascii="Times New Roman" w:hAnsi="Times New Roman"/>
          <w:sz w:val="28"/>
          <w:szCs w:val="28"/>
          <w:lang w:val="de-DE"/>
        </w:rPr>
        <w:t xml:space="preserve">ổ trưởng. </w:t>
      </w:r>
    </w:p>
    <w:p w:rsidR="005515FA" w:rsidRPr="008C30F1" w:rsidRDefault="005515FA" w:rsidP="008C30F1">
      <w:pPr>
        <w:spacing w:after="120" w:line="288" w:lineRule="auto"/>
        <w:ind w:firstLine="720"/>
        <w:jc w:val="both"/>
        <w:rPr>
          <w:rFonts w:ascii="Times New Roman" w:hAnsi="Times New Roman"/>
          <w:sz w:val="28"/>
          <w:szCs w:val="28"/>
          <w:lang w:val="de-DE"/>
        </w:rPr>
      </w:pPr>
      <w:r w:rsidRPr="008C30F1">
        <w:rPr>
          <w:rFonts w:ascii="Times New Roman" w:hAnsi="Times New Roman"/>
          <w:sz w:val="28"/>
          <w:szCs w:val="28"/>
          <w:lang w:val="de-DE"/>
        </w:rPr>
        <w:lastRenderedPageBreak/>
        <w:t xml:space="preserve">- </w:t>
      </w:r>
      <w:r w:rsidR="002007FB" w:rsidRPr="008C30F1">
        <w:rPr>
          <w:rFonts w:ascii="Times New Roman" w:hAnsi="Times New Roman"/>
          <w:sz w:val="28"/>
          <w:szCs w:val="28"/>
          <w:lang w:val="de-DE"/>
        </w:rPr>
        <w:t xml:space="preserve">Chế độ </w:t>
      </w:r>
      <w:r w:rsidRPr="008C30F1">
        <w:rPr>
          <w:rFonts w:ascii="Times New Roman" w:hAnsi="Times New Roman"/>
          <w:sz w:val="28"/>
          <w:szCs w:val="28"/>
          <w:lang w:val="de-DE"/>
        </w:rPr>
        <w:t xml:space="preserve">kiểm tra, giám sát, báo cáo: </w:t>
      </w:r>
      <w:r w:rsidR="002007FB" w:rsidRPr="008C30F1">
        <w:rPr>
          <w:rFonts w:ascii="Times New Roman" w:hAnsi="Times New Roman"/>
          <w:sz w:val="28"/>
          <w:szCs w:val="28"/>
          <w:lang w:val="de-DE"/>
        </w:rPr>
        <w:t xml:space="preserve">Đề án quy định Ban đại diện HĐQT NHCSXH cấp tỉnh, cấp huyện </w:t>
      </w:r>
      <w:r w:rsidRPr="008C30F1">
        <w:rPr>
          <w:rFonts w:ascii="Times New Roman" w:hAnsi="Times New Roman"/>
          <w:sz w:val="28"/>
          <w:szCs w:val="28"/>
          <w:lang w:val="de-DE"/>
        </w:rPr>
        <w:t>lồng ghép kiểm tra</w:t>
      </w:r>
      <w:r w:rsidR="002007FB" w:rsidRPr="008C30F1">
        <w:rPr>
          <w:rFonts w:ascii="Times New Roman" w:hAnsi="Times New Roman"/>
          <w:sz w:val="28"/>
          <w:szCs w:val="28"/>
          <w:lang w:val="de-DE"/>
        </w:rPr>
        <w:t>, giám sát việc triển khai</w:t>
      </w:r>
      <w:r w:rsidRPr="008C30F1">
        <w:rPr>
          <w:rFonts w:ascii="Times New Roman" w:hAnsi="Times New Roman"/>
          <w:sz w:val="28"/>
          <w:szCs w:val="28"/>
          <w:lang w:val="de-DE"/>
        </w:rPr>
        <w:t xml:space="preserve"> Đề</w:t>
      </w:r>
      <w:r w:rsidR="002007FB" w:rsidRPr="008C30F1">
        <w:rPr>
          <w:rFonts w:ascii="Times New Roman" w:hAnsi="Times New Roman"/>
          <w:sz w:val="28"/>
          <w:szCs w:val="28"/>
          <w:lang w:val="de-DE"/>
        </w:rPr>
        <w:t xml:space="preserve"> án vào C</w:t>
      </w:r>
      <w:r w:rsidRPr="008C30F1">
        <w:rPr>
          <w:rFonts w:ascii="Times New Roman" w:hAnsi="Times New Roman"/>
          <w:sz w:val="28"/>
          <w:szCs w:val="28"/>
          <w:lang w:val="de-DE"/>
        </w:rPr>
        <w:t xml:space="preserve">hương trình kiểm tra giám sát </w:t>
      </w:r>
      <w:r w:rsidR="002007FB" w:rsidRPr="008C30F1">
        <w:rPr>
          <w:rFonts w:ascii="Times New Roman" w:hAnsi="Times New Roman"/>
          <w:sz w:val="28"/>
          <w:szCs w:val="28"/>
          <w:lang w:val="de-DE"/>
        </w:rPr>
        <w:t xml:space="preserve">hàng năm; trong đó mời đại diện Ban Văn hoá - Xã hội HĐND tỉnh, Ban Kinh tế - Xã hội </w:t>
      </w:r>
      <w:r w:rsidR="0026169C" w:rsidRPr="008C30F1">
        <w:rPr>
          <w:rFonts w:ascii="Times New Roman" w:hAnsi="Times New Roman"/>
          <w:sz w:val="28"/>
          <w:szCs w:val="28"/>
          <w:lang w:val="de-DE"/>
        </w:rPr>
        <w:t xml:space="preserve">HĐND cấp </w:t>
      </w:r>
      <w:r w:rsidR="002007FB" w:rsidRPr="008C30F1">
        <w:rPr>
          <w:rFonts w:ascii="Times New Roman" w:hAnsi="Times New Roman"/>
          <w:sz w:val="28"/>
          <w:szCs w:val="28"/>
          <w:lang w:val="de-DE"/>
        </w:rPr>
        <w:t>huyện</w:t>
      </w:r>
      <w:r w:rsidR="0026169C" w:rsidRPr="008C30F1">
        <w:rPr>
          <w:rFonts w:ascii="Times New Roman" w:hAnsi="Times New Roman"/>
          <w:sz w:val="28"/>
          <w:szCs w:val="28"/>
          <w:lang w:val="de-DE"/>
        </w:rPr>
        <w:t xml:space="preserve"> cùng tham gia, tuy nhiên phần lớn các đơn vị, địa phương chưa thực hiện đúng quy định;</w:t>
      </w:r>
      <w:r w:rsidRPr="008C30F1">
        <w:rPr>
          <w:rFonts w:ascii="Times New Roman" w:hAnsi="Times New Roman"/>
          <w:sz w:val="28"/>
          <w:szCs w:val="28"/>
          <w:lang w:val="de-DE"/>
        </w:rPr>
        <w:t xml:space="preserve"> một số nơi chưa gửi báo cáo định kỳ tình hình triển khai </w:t>
      </w:r>
      <w:r w:rsidR="0026169C" w:rsidRPr="008C30F1">
        <w:rPr>
          <w:rFonts w:ascii="Times New Roman" w:hAnsi="Times New Roman"/>
          <w:sz w:val="28"/>
          <w:szCs w:val="28"/>
          <w:lang w:val="de-DE"/>
        </w:rPr>
        <w:t>Đề án</w:t>
      </w:r>
      <w:r w:rsidRPr="008C30F1">
        <w:rPr>
          <w:rFonts w:ascii="Times New Roman" w:hAnsi="Times New Roman"/>
          <w:sz w:val="28"/>
          <w:szCs w:val="28"/>
          <w:lang w:val="de-DE"/>
        </w:rPr>
        <w:t xml:space="preserve"> cho HĐND cùng cấp theo quy định.</w:t>
      </w:r>
    </w:p>
    <w:p w:rsidR="00E8245C" w:rsidRPr="008C30F1" w:rsidRDefault="0026169C"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de-DE"/>
        </w:rPr>
        <w:t xml:space="preserve">- </w:t>
      </w:r>
      <w:r w:rsidR="00E8245C" w:rsidRPr="008C30F1">
        <w:rPr>
          <w:rFonts w:ascii="Times New Roman" w:hAnsi="Times New Roman"/>
          <w:sz w:val="28"/>
          <w:szCs w:val="28"/>
          <w:lang w:val="de-DE"/>
        </w:rPr>
        <w:t>Trường hợp</w:t>
      </w:r>
      <w:r w:rsidRPr="008C30F1">
        <w:rPr>
          <w:rFonts w:ascii="Times New Roman" w:hAnsi="Times New Roman"/>
          <w:sz w:val="28"/>
          <w:szCs w:val="28"/>
          <w:lang w:val="de-DE"/>
        </w:rPr>
        <w:t xml:space="preserve"> người đi vay là đối tượng</w:t>
      </w:r>
      <w:r w:rsidR="00251B9E" w:rsidRPr="008C30F1">
        <w:rPr>
          <w:rFonts w:ascii="Times New Roman" w:hAnsi="Times New Roman"/>
          <w:sz w:val="28"/>
          <w:szCs w:val="28"/>
          <w:lang w:val="de-DE"/>
        </w:rPr>
        <w:t xml:space="preserve"> hộ nghèo, cận nghèo, hộ có mức sống trung bình</w:t>
      </w:r>
      <w:r w:rsidRPr="008C30F1">
        <w:rPr>
          <w:rFonts w:ascii="Times New Roman" w:hAnsi="Times New Roman"/>
          <w:sz w:val="28"/>
          <w:szCs w:val="28"/>
          <w:lang w:val="de-DE"/>
        </w:rPr>
        <w:t xml:space="preserve"> phát sinh (nằm ngoài danh sách hộ nghèo, cận nghèo, thoát nghèo, hộ có mức sống trung bình đã được</w:t>
      </w:r>
      <w:r w:rsidR="006714FA" w:rsidRPr="008C30F1">
        <w:rPr>
          <w:rFonts w:ascii="Times New Roman" w:hAnsi="Times New Roman"/>
          <w:sz w:val="28"/>
          <w:szCs w:val="28"/>
          <w:lang w:val="de-DE"/>
        </w:rPr>
        <w:t xml:space="preserve"> cấp có thẩm quyền</w:t>
      </w:r>
      <w:r w:rsidRPr="008C30F1">
        <w:rPr>
          <w:rFonts w:ascii="Times New Roman" w:hAnsi="Times New Roman"/>
          <w:sz w:val="28"/>
          <w:szCs w:val="28"/>
          <w:lang w:val="de-DE"/>
        </w:rPr>
        <w:t xml:space="preserve"> phê duyệ</w:t>
      </w:r>
      <w:r w:rsidR="0076470C" w:rsidRPr="008C30F1">
        <w:rPr>
          <w:rFonts w:ascii="Times New Roman" w:hAnsi="Times New Roman"/>
          <w:sz w:val="28"/>
          <w:szCs w:val="28"/>
          <w:lang w:val="de-DE"/>
        </w:rPr>
        <w:t>t)</w:t>
      </w:r>
      <w:r w:rsidR="00E8245C" w:rsidRPr="008C30F1">
        <w:rPr>
          <w:rFonts w:ascii="Times New Roman" w:hAnsi="Times New Roman"/>
          <w:sz w:val="28"/>
          <w:szCs w:val="28"/>
          <w:lang w:val="de-DE"/>
        </w:rPr>
        <w:t>:</w:t>
      </w:r>
      <w:r w:rsidRPr="008C30F1">
        <w:rPr>
          <w:rFonts w:ascii="Times New Roman" w:hAnsi="Times New Roman"/>
          <w:sz w:val="28"/>
          <w:szCs w:val="28"/>
          <w:lang w:val="de-DE"/>
        </w:rPr>
        <w:t xml:space="preserve"> thời gian để xác định đối tượng phải thực hiện theo </w:t>
      </w:r>
      <w:r w:rsidR="006714FA" w:rsidRPr="008C30F1">
        <w:rPr>
          <w:rFonts w:ascii="Times New Roman" w:hAnsi="Times New Roman"/>
          <w:sz w:val="28"/>
          <w:szCs w:val="28"/>
          <w:lang w:val="de-DE"/>
        </w:rPr>
        <w:t xml:space="preserve">các văn bản </w:t>
      </w:r>
      <w:r w:rsidRPr="008C30F1">
        <w:rPr>
          <w:rFonts w:ascii="Times New Roman" w:hAnsi="Times New Roman"/>
          <w:sz w:val="28"/>
          <w:szCs w:val="28"/>
          <w:lang w:val="de-DE"/>
        </w:rPr>
        <w:t>quy định</w:t>
      </w:r>
      <w:r w:rsidR="00E8245C" w:rsidRPr="008C30F1">
        <w:rPr>
          <w:rFonts w:ascii="Times New Roman" w:hAnsi="Times New Roman"/>
          <w:sz w:val="28"/>
          <w:szCs w:val="28"/>
          <w:lang w:val="de-DE"/>
        </w:rPr>
        <w:t xml:space="preserve"> (quy trình là 15 ngày kế từ ngày nhận được đơn đề nghị rà soát của người dân)</w:t>
      </w:r>
      <w:r w:rsidR="00D93E6F" w:rsidRPr="008C30F1">
        <w:rPr>
          <w:rFonts w:ascii="Times New Roman" w:hAnsi="Times New Roman"/>
          <w:sz w:val="28"/>
          <w:szCs w:val="28"/>
          <w:vertAlign w:val="superscript"/>
          <w:lang w:val="nl-NL"/>
        </w:rPr>
        <w:t>(</w:t>
      </w:r>
      <w:r w:rsidR="00D93E6F" w:rsidRPr="008C30F1">
        <w:rPr>
          <w:vertAlign w:val="superscript"/>
          <w:lang w:val="nl-NL"/>
        </w:rPr>
        <w:footnoteReference w:id="8"/>
      </w:r>
      <w:r w:rsidR="00D93E6F" w:rsidRPr="008C30F1">
        <w:rPr>
          <w:rFonts w:ascii="Times New Roman" w:hAnsi="Times New Roman"/>
          <w:sz w:val="28"/>
          <w:szCs w:val="28"/>
          <w:vertAlign w:val="superscript"/>
          <w:lang w:val="nl-NL"/>
        </w:rPr>
        <w:t>)</w:t>
      </w:r>
      <w:r w:rsidR="00E8245C" w:rsidRPr="008C30F1">
        <w:rPr>
          <w:rFonts w:ascii="Times New Roman" w:hAnsi="Times New Roman"/>
          <w:sz w:val="28"/>
          <w:szCs w:val="28"/>
          <w:lang w:val="de-DE"/>
        </w:rPr>
        <w:t xml:space="preserve">, do đó thời gian giải ngân vốn vay trong vòng tối đa 24h </w:t>
      </w:r>
      <w:r w:rsidR="00E8245C" w:rsidRPr="008C30F1">
        <w:rPr>
          <w:rFonts w:ascii="Times New Roman" w:hAnsi="Times New Roman"/>
          <w:sz w:val="28"/>
          <w:szCs w:val="28"/>
        </w:rPr>
        <w:t>kể từ thời điểm người có nhu cầu vay vốn đăng ký và lập hồ sơ vay vốn</w:t>
      </w:r>
      <w:r w:rsidR="00E8245C" w:rsidRPr="008C30F1">
        <w:rPr>
          <w:rFonts w:ascii="Times New Roman" w:hAnsi="Times New Roman"/>
          <w:sz w:val="28"/>
          <w:szCs w:val="28"/>
          <w:lang w:val="en-US"/>
        </w:rPr>
        <w:t xml:space="preserve"> quy định trong Đề án không triển khai được trên thực tế.</w:t>
      </w:r>
    </w:p>
    <w:p w:rsidR="00F21602" w:rsidRPr="008C30F1" w:rsidRDefault="00F21602" w:rsidP="008C30F1">
      <w:pPr>
        <w:spacing w:after="120" w:line="288" w:lineRule="auto"/>
        <w:ind w:firstLine="720"/>
        <w:jc w:val="both"/>
        <w:rPr>
          <w:rFonts w:ascii="Times New Roman" w:eastAsia=".VnTime" w:hAnsi="Times New Roman"/>
          <w:b/>
          <w:bCs/>
          <w:sz w:val="28"/>
          <w:szCs w:val="28"/>
          <w:lang w:val="nl-NL" w:eastAsia="ar-SA"/>
        </w:rPr>
      </w:pPr>
      <w:r w:rsidRPr="008C30F1">
        <w:rPr>
          <w:rFonts w:ascii="Times New Roman" w:hAnsi="Times New Roman"/>
          <w:b/>
          <w:iCs/>
          <w:sz w:val="28"/>
          <w:szCs w:val="28"/>
          <w:lang w:val="de-DE"/>
        </w:rPr>
        <w:t>2. Nguyên nhân</w:t>
      </w:r>
      <w:r w:rsidRPr="008C30F1">
        <w:rPr>
          <w:rFonts w:ascii="Times New Roman" w:eastAsia=".VnTime" w:hAnsi="Times New Roman"/>
          <w:b/>
          <w:bCs/>
          <w:sz w:val="28"/>
          <w:szCs w:val="28"/>
          <w:lang w:val="nl-NL" w:eastAsia="ar-SA"/>
        </w:rPr>
        <w:t xml:space="preserve">  </w:t>
      </w:r>
    </w:p>
    <w:p w:rsidR="00CC2496" w:rsidRPr="008C30F1" w:rsidRDefault="00CC2496" w:rsidP="008C30F1">
      <w:pPr>
        <w:spacing w:after="120" w:line="288" w:lineRule="auto"/>
        <w:ind w:firstLine="709"/>
        <w:jc w:val="both"/>
        <w:rPr>
          <w:rFonts w:ascii="Times New Roman" w:eastAsia=".VnTime" w:hAnsi="Times New Roman"/>
          <w:bCs/>
          <w:sz w:val="28"/>
          <w:szCs w:val="28"/>
          <w:lang w:val="nl-NL" w:eastAsia="ar-SA"/>
        </w:rPr>
      </w:pPr>
      <w:r w:rsidRPr="008C30F1">
        <w:rPr>
          <w:rFonts w:ascii="Times New Roman" w:eastAsia=".VnTime" w:hAnsi="Times New Roman"/>
          <w:bCs/>
          <w:sz w:val="28"/>
          <w:szCs w:val="28"/>
          <w:lang w:val="nl-NL" w:eastAsia="ar-SA"/>
        </w:rPr>
        <w:t>- Nguyên nhân khách quan: Nghị quyết 67/2019/NQ-HĐND là nghị quyết về chính sách đặc thù riêng</w:t>
      </w:r>
      <w:r w:rsidR="00E8245C" w:rsidRPr="008C30F1">
        <w:rPr>
          <w:rFonts w:ascii="Times New Roman" w:eastAsia=".VnTime" w:hAnsi="Times New Roman"/>
          <w:bCs/>
          <w:sz w:val="28"/>
          <w:szCs w:val="28"/>
          <w:lang w:val="nl-NL" w:eastAsia="ar-SA"/>
        </w:rPr>
        <w:t xml:space="preserve"> của tỉnh Kon Tum</w:t>
      </w:r>
      <w:r w:rsidRPr="008C30F1">
        <w:rPr>
          <w:rFonts w:ascii="Times New Roman" w:eastAsia=".VnTime" w:hAnsi="Times New Roman"/>
          <w:bCs/>
          <w:sz w:val="28"/>
          <w:szCs w:val="28"/>
          <w:lang w:val="nl-NL" w:eastAsia="ar-SA"/>
        </w:rPr>
        <w:t xml:space="preserve"> trong bối cảnh cả nước nói chung và tỉnh Kon Tum nói riêng</w:t>
      </w:r>
      <w:r w:rsidR="00E8245C" w:rsidRPr="008C30F1">
        <w:rPr>
          <w:rFonts w:ascii="Times New Roman" w:eastAsia=".VnTime" w:hAnsi="Times New Roman"/>
          <w:bCs/>
          <w:sz w:val="28"/>
          <w:szCs w:val="28"/>
          <w:lang w:val="nl-NL" w:eastAsia="ar-SA"/>
        </w:rPr>
        <w:t>,</w:t>
      </w:r>
      <w:r w:rsidRPr="008C30F1">
        <w:rPr>
          <w:rFonts w:ascii="Times New Roman" w:eastAsia=".VnTime" w:hAnsi="Times New Roman"/>
          <w:bCs/>
          <w:sz w:val="28"/>
          <w:szCs w:val="28"/>
          <w:lang w:val="nl-NL" w:eastAsia="ar-SA"/>
        </w:rPr>
        <w:t xml:space="preserve"> </w:t>
      </w:r>
      <w:r w:rsidR="00E8245C" w:rsidRPr="008C30F1">
        <w:rPr>
          <w:rFonts w:ascii="Times New Roman" w:eastAsia=".VnTime" w:hAnsi="Times New Roman"/>
          <w:bCs/>
          <w:sz w:val="28"/>
          <w:szCs w:val="28"/>
          <w:lang w:val="nl-NL" w:eastAsia="ar-SA"/>
        </w:rPr>
        <w:t>đang</w:t>
      </w:r>
      <w:r w:rsidRPr="008C30F1">
        <w:rPr>
          <w:rFonts w:ascii="Times New Roman" w:eastAsia=".VnTime" w:hAnsi="Times New Roman"/>
          <w:bCs/>
          <w:sz w:val="28"/>
          <w:szCs w:val="28"/>
          <w:lang w:val="nl-NL" w:eastAsia="ar-SA"/>
        </w:rPr>
        <w:t xml:space="preserve"> đấu tranh </w:t>
      </w:r>
      <w:r w:rsidR="005649E4">
        <w:rPr>
          <w:rFonts w:ascii="Times New Roman" w:eastAsia=".VnTime" w:hAnsi="Times New Roman"/>
          <w:bCs/>
          <w:sz w:val="28"/>
          <w:szCs w:val="28"/>
          <w:lang w:val="nl-NL" w:eastAsia="ar-SA"/>
        </w:rPr>
        <w:t xml:space="preserve">đẩy lùi hoạt động </w:t>
      </w:r>
      <w:r w:rsidR="005B2988" w:rsidRPr="008C30F1">
        <w:rPr>
          <w:rFonts w:ascii="Times New Roman" w:hAnsi="Times New Roman"/>
          <w:i/>
          <w:sz w:val="28"/>
          <w:szCs w:val="28"/>
          <w:lang w:val="de-DE"/>
        </w:rPr>
        <w:t>“</w:t>
      </w:r>
      <w:r w:rsidRPr="008C30F1">
        <w:rPr>
          <w:rFonts w:ascii="Times New Roman" w:eastAsia=".VnTime" w:hAnsi="Times New Roman"/>
          <w:bCs/>
          <w:i/>
          <w:sz w:val="28"/>
          <w:szCs w:val="28"/>
          <w:lang w:val="nl-NL" w:eastAsia="ar-SA"/>
        </w:rPr>
        <w:t>tín dụng đen</w:t>
      </w:r>
      <w:r w:rsidR="005B2988" w:rsidRPr="008C30F1">
        <w:rPr>
          <w:rFonts w:ascii="Times New Roman" w:hAnsi="Times New Roman"/>
          <w:i/>
          <w:sz w:val="28"/>
          <w:szCs w:val="28"/>
          <w:lang w:val="nl-NL"/>
        </w:rPr>
        <w:t>”</w:t>
      </w:r>
      <w:r w:rsidRPr="008C30F1">
        <w:rPr>
          <w:rFonts w:ascii="Times New Roman" w:eastAsia=".VnTime" w:hAnsi="Times New Roman"/>
          <w:bCs/>
          <w:sz w:val="28"/>
          <w:szCs w:val="28"/>
          <w:lang w:val="nl-NL" w:eastAsia="ar-SA"/>
        </w:rPr>
        <w:t xml:space="preserve">, </w:t>
      </w:r>
      <w:r w:rsidR="005649E4">
        <w:rPr>
          <w:rFonts w:ascii="Times New Roman" w:eastAsia=".VnTime" w:hAnsi="Times New Roman"/>
          <w:bCs/>
          <w:sz w:val="28"/>
          <w:szCs w:val="28"/>
          <w:lang w:val="nl-NL" w:eastAsia="ar-SA"/>
        </w:rPr>
        <w:t>có</w:t>
      </w:r>
      <w:r w:rsidRPr="008C30F1">
        <w:rPr>
          <w:rFonts w:ascii="Times New Roman" w:eastAsia=".VnTime" w:hAnsi="Times New Roman"/>
          <w:bCs/>
          <w:sz w:val="28"/>
          <w:szCs w:val="28"/>
          <w:lang w:val="nl-NL" w:eastAsia="ar-SA"/>
        </w:rPr>
        <w:t xml:space="preserve"> tính nhân văn sâu sắc và </w:t>
      </w:r>
      <w:r w:rsidR="005649E4">
        <w:rPr>
          <w:rFonts w:ascii="Times New Roman" w:eastAsia=".VnTime" w:hAnsi="Times New Roman"/>
          <w:bCs/>
          <w:sz w:val="28"/>
          <w:szCs w:val="28"/>
          <w:lang w:val="nl-NL" w:eastAsia="ar-SA"/>
        </w:rPr>
        <w:t xml:space="preserve">là </w:t>
      </w:r>
      <w:r w:rsidRPr="008C30F1">
        <w:rPr>
          <w:rFonts w:ascii="Times New Roman" w:eastAsia=".VnTime" w:hAnsi="Times New Roman"/>
          <w:bCs/>
          <w:sz w:val="28"/>
          <w:szCs w:val="28"/>
          <w:lang w:val="nl-NL" w:eastAsia="ar-SA"/>
        </w:rPr>
        <w:t xml:space="preserve">chính sách </w:t>
      </w:r>
      <w:r w:rsidR="005649E4">
        <w:rPr>
          <w:rFonts w:ascii="Times New Roman" w:eastAsia=".VnTime" w:hAnsi="Times New Roman"/>
          <w:bCs/>
          <w:sz w:val="28"/>
          <w:szCs w:val="28"/>
          <w:lang w:val="nl-NL" w:eastAsia="ar-SA"/>
        </w:rPr>
        <w:t xml:space="preserve">mới, </w:t>
      </w:r>
      <w:r w:rsidR="001C35C3">
        <w:rPr>
          <w:rFonts w:ascii="Times New Roman" w:eastAsia=".VnTime" w:hAnsi="Times New Roman"/>
          <w:bCs/>
          <w:sz w:val="28"/>
          <w:szCs w:val="28"/>
          <w:lang w:val="nl-NL" w:eastAsia="ar-SA"/>
        </w:rPr>
        <w:t xml:space="preserve">mang tính đặc thù của địa phương, chưa được trung ương quy định, </w:t>
      </w:r>
      <w:r w:rsidRPr="008C30F1">
        <w:rPr>
          <w:rFonts w:ascii="Times New Roman" w:eastAsia=".VnTime" w:hAnsi="Times New Roman"/>
          <w:bCs/>
          <w:sz w:val="28"/>
          <w:szCs w:val="28"/>
          <w:lang w:val="nl-NL" w:eastAsia="ar-SA"/>
        </w:rPr>
        <w:t xml:space="preserve">do đó </w:t>
      </w:r>
      <w:r w:rsidR="00F95C71">
        <w:rPr>
          <w:rFonts w:ascii="Times New Roman" w:eastAsia=".VnTime" w:hAnsi="Times New Roman"/>
          <w:bCs/>
          <w:sz w:val="28"/>
          <w:szCs w:val="28"/>
          <w:lang w:val="nl-NL" w:eastAsia="ar-SA"/>
        </w:rPr>
        <w:t xml:space="preserve">trong </w:t>
      </w:r>
      <w:r w:rsidRPr="008C30F1">
        <w:rPr>
          <w:rFonts w:ascii="Times New Roman" w:eastAsia=".VnTime" w:hAnsi="Times New Roman"/>
          <w:bCs/>
          <w:sz w:val="28"/>
          <w:szCs w:val="28"/>
          <w:lang w:val="nl-NL" w:eastAsia="ar-SA"/>
        </w:rPr>
        <w:t xml:space="preserve">quá trình triển khai phát sinh một số </w:t>
      </w:r>
      <w:r w:rsidR="00704F2A">
        <w:rPr>
          <w:rFonts w:ascii="Times New Roman" w:eastAsia=".VnTime" w:hAnsi="Times New Roman"/>
          <w:bCs/>
          <w:sz w:val="28"/>
          <w:szCs w:val="28"/>
          <w:lang w:val="nl-NL" w:eastAsia="ar-SA"/>
        </w:rPr>
        <w:t xml:space="preserve">khó khăn, </w:t>
      </w:r>
      <w:r w:rsidRPr="008C30F1">
        <w:rPr>
          <w:rFonts w:ascii="Times New Roman" w:eastAsia=".VnTime" w:hAnsi="Times New Roman"/>
          <w:bCs/>
          <w:sz w:val="28"/>
          <w:szCs w:val="28"/>
          <w:lang w:val="nl-NL" w:eastAsia="ar-SA"/>
        </w:rPr>
        <w:t>vướng mắc</w:t>
      </w:r>
      <w:r w:rsidR="00704F2A">
        <w:rPr>
          <w:rFonts w:ascii="Times New Roman" w:eastAsia=".VnTime" w:hAnsi="Times New Roman"/>
          <w:bCs/>
          <w:sz w:val="28"/>
          <w:szCs w:val="28"/>
          <w:lang w:val="nl-NL" w:eastAsia="ar-SA"/>
        </w:rPr>
        <w:t>,</w:t>
      </w:r>
      <w:r w:rsidRPr="008C30F1">
        <w:rPr>
          <w:rFonts w:ascii="Times New Roman" w:eastAsia=".VnTime" w:hAnsi="Times New Roman"/>
          <w:bCs/>
          <w:sz w:val="28"/>
          <w:szCs w:val="28"/>
          <w:lang w:val="nl-NL" w:eastAsia="ar-SA"/>
        </w:rPr>
        <w:t xml:space="preserve"> </w:t>
      </w:r>
      <w:r w:rsidR="00704F2A" w:rsidRPr="008C30F1">
        <w:rPr>
          <w:rFonts w:ascii="Times New Roman" w:eastAsia=".VnTime" w:hAnsi="Times New Roman"/>
          <w:bCs/>
          <w:sz w:val="28"/>
          <w:szCs w:val="28"/>
          <w:lang w:val="nl-NL" w:eastAsia="ar-SA"/>
        </w:rPr>
        <w:t xml:space="preserve">bất cập </w:t>
      </w:r>
      <w:r w:rsidRPr="008C30F1">
        <w:rPr>
          <w:rFonts w:ascii="Times New Roman" w:eastAsia=".VnTime" w:hAnsi="Times New Roman"/>
          <w:bCs/>
          <w:sz w:val="28"/>
          <w:szCs w:val="28"/>
          <w:lang w:val="nl-NL" w:eastAsia="ar-SA"/>
        </w:rPr>
        <w:t>đã được nêu trên.</w:t>
      </w:r>
    </w:p>
    <w:p w:rsidR="00F21602" w:rsidRPr="008C30F1" w:rsidRDefault="00CC2496" w:rsidP="008C30F1">
      <w:pPr>
        <w:spacing w:after="120" w:line="288" w:lineRule="auto"/>
        <w:ind w:firstLine="709"/>
        <w:jc w:val="both"/>
        <w:rPr>
          <w:rFonts w:ascii="Times New Roman" w:eastAsia=".VnTime" w:hAnsi="Times New Roman"/>
          <w:bCs/>
          <w:sz w:val="28"/>
          <w:szCs w:val="28"/>
          <w:lang w:val="nl-NL" w:eastAsia="ar-SA"/>
        </w:rPr>
      </w:pPr>
      <w:r w:rsidRPr="008C30F1">
        <w:rPr>
          <w:rFonts w:ascii="Times New Roman" w:eastAsia=".VnTime" w:hAnsi="Times New Roman"/>
          <w:bCs/>
          <w:sz w:val="28"/>
          <w:szCs w:val="28"/>
          <w:lang w:val="nl-NL" w:eastAsia="ar-SA"/>
        </w:rPr>
        <w:t>- Nguyên nhân chủ quan: công tác kiểm tra, giám sát của các đơn vị được phân công chưa thường xuyên, chưa đảm bảo thành phần, chưa tổng hợp và xử lý kịp thời ý kiến vướng mắc từ cơ sở.</w:t>
      </w:r>
    </w:p>
    <w:p w:rsidR="000B5D22" w:rsidRPr="008C30F1" w:rsidRDefault="007E0756" w:rsidP="008C30F1">
      <w:pPr>
        <w:spacing w:after="120" w:line="288" w:lineRule="auto"/>
        <w:ind w:firstLine="709"/>
        <w:jc w:val="both"/>
        <w:rPr>
          <w:rFonts w:ascii="Times New Roman" w:eastAsia=".VnTime" w:hAnsi="Times New Roman"/>
          <w:b/>
          <w:bCs/>
          <w:sz w:val="28"/>
          <w:szCs w:val="28"/>
          <w:lang w:val="nl-NL" w:eastAsia="ar-SA"/>
        </w:rPr>
      </w:pPr>
      <w:r w:rsidRPr="008C30F1">
        <w:rPr>
          <w:rFonts w:ascii="Times New Roman" w:eastAsia=".VnTime" w:hAnsi="Times New Roman"/>
          <w:b/>
          <w:bCs/>
          <w:sz w:val="28"/>
          <w:szCs w:val="28"/>
          <w:lang w:val="nl-NL" w:eastAsia="ar-SA"/>
        </w:rPr>
        <w:t>II</w:t>
      </w:r>
      <w:r w:rsidR="00831CC2" w:rsidRPr="008C30F1">
        <w:rPr>
          <w:rFonts w:ascii="Times New Roman" w:eastAsia=".VnTime" w:hAnsi="Times New Roman"/>
          <w:b/>
          <w:bCs/>
          <w:sz w:val="28"/>
          <w:szCs w:val="28"/>
          <w:lang w:val="nl-NL" w:eastAsia="ar-SA"/>
        </w:rPr>
        <w:t>I. Đề xuất, kiến nghị</w:t>
      </w:r>
      <w:r w:rsidR="00E8245C" w:rsidRPr="008C30F1">
        <w:rPr>
          <w:rFonts w:ascii="Times New Roman" w:eastAsia=".VnTime" w:hAnsi="Times New Roman"/>
          <w:b/>
          <w:bCs/>
          <w:sz w:val="28"/>
          <w:szCs w:val="28"/>
          <w:lang w:val="nl-NL" w:eastAsia="ar-SA"/>
        </w:rPr>
        <w:t>:</w:t>
      </w:r>
    </w:p>
    <w:p w:rsidR="00344F4A" w:rsidRPr="008C30F1" w:rsidRDefault="000B5D22" w:rsidP="008C30F1">
      <w:pPr>
        <w:spacing w:after="120" w:line="288" w:lineRule="auto"/>
        <w:ind w:firstLine="709"/>
        <w:jc w:val="both"/>
        <w:rPr>
          <w:rFonts w:ascii="Times New Roman" w:eastAsia=".VnTime" w:hAnsi="Times New Roman"/>
          <w:bCs/>
          <w:sz w:val="28"/>
          <w:szCs w:val="28"/>
          <w:lang w:val="nl-NL" w:eastAsia="ar-SA"/>
        </w:rPr>
      </w:pPr>
      <w:r w:rsidRPr="008C30F1">
        <w:rPr>
          <w:rFonts w:ascii="Times New Roman" w:eastAsia=".VnTime" w:hAnsi="Times New Roman"/>
          <w:b/>
          <w:bCs/>
          <w:sz w:val="28"/>
          <w:szCs w:val="28"/>
          <w:lang w:val="nl-NL" w:eastAsia="ar-SA"/>
        </w:rPr>
        <w:t xml:space="preserve">1. </w:t>
      </w:r>
      <w:r w:rsidR="000E3FEC" w:rsidRPr="008C30F1">
        <w:rPr>
          <w:rFonts w:ascii="Times New Roman" w:eastAsia=".VnTime" w:hAnsi="Times New Roman"/>
          <w:b/>
          <w:bCs/>
          <w:sz w:val="28"/>
          <w:szCs w:val="28"/>
          <w:lang w:val="nl-NL" w:eastAsia="ar-SA"/>
        </w:rPr>
        <w:t>UBND</w:t>
      </w:r>
      <w:r w:rsidR="00831CC2" w:rsidRPr="008C30F1">
        <w:rPr>
          <w:rFonts w:ascii="Times New Roman" w:eastAsia=".VnTime" w:hAnsi="Times New Roman"/>
          <w:b/>
          <w:bCs/>
          <w:sz w:val="28"/>
          <w:szCs w:val="28"/>
          <w:lang w:val="nl-NL" w:eastAsia="ar-SA"/>
        </w:rPr>
        <w:t xml:space="preserve"> tỉnh</w:t>
      </w:r>
      <w:r w:rsidRPr="008C30F1">
        <w:rPr>
          <w:rFonts w:ascii="Times New Roman" w:eastAsia=".VnTime" w:hAnsi="Times New Roman"/>
          <w:b/>
          <w:bCs/>
          <w:sz w:val="28"/>
          <w:szCs w:val="28"/>
          <w:lang w:val="nl-NL" w:eastAsia="ar-SA"/>
        </w:rPr>
        <w:t xml:space="preserve">: </w:t>
      </w:r>
      <w:r w:rsidRPr="008C30F1">
        <w:rPr>
          <w:rFonts w:ascii="Times New Roman" w:eastAsia=".VnTime" w:hAnsi="Times New Roman"/>
          <w:bCs/>
          <w:sz w:val="28"/>
          <w:szCs w:val="28"/>
          <w:lang w:val="nl-NL" w:eastAsia="ar-SA"/>
        </w:rPr>
        <w:t>chỉ đạo NHCSXH và các sở, ngành có liên quan</w:t>
      </w:r>
      <w:r w:rsidR="001239D6" w:rsidRPr="008C30F1">
        <w:rPr>
          <w:rFonts w:ascii="Times New Roman" w:eastAsia=".VnTime" w:hAnsi="Times New Roman"/>
          <w:bCs/>
          <w:sz w:val="28"/>
          <w:szCs w:val="28"/>
          <w:lang w:val="nl-NL" w:eastAsia="ar-SA"/>
        </w:rPr>
        <w:t xml:space="preserve"> và Uỷ ban nhân dân các huyện, thành phố</w:t>
      </w:r>
      <w:r w:rsidRPr="008C30F1">
        <w:rPr>
          <w:rFonts w:ascii="Times New Roman" w:eastAsia=".VnTime" w:hAnsi="Times New Roman"/>
          <w:bCs/>
          <w:sz w:val="28"/>
          <w:szCs w:val="28"/>
          <w:lang w:val="nl-NL" w:eastAsia="ar-SA"/>
        </w:rPr>
        <w:t xml:space="preserve"> được phân công trong Đề án thực hiện</w:t>
      </w:r>
      <w:r w:rsidR="00831CC2" w:rsidRPr="008C30F1">
        <w:rPr>
          <w:rFonts w:ascii="Times New Roman" w:eastAsia=".VnTime" w:hAnsi="Times New Roman"/>
          <w:bCs/>
          <w:sz w:val="28"/>
          <w:szCs w:val="28"/>
          <w:lang w:val="nl-NL" w:eastAsia="ar-SA"/>
        </w:rPr>
        <w:t>:</w:t>
      </w:r>
    </w:p>
    <w:p w:rsidR="000B5D22" w:rsidRPr="008C30F1" w:rsidRDefault="000B5D22" w:rsidP="008C30F1">
      <w:pPr>
        <w:spacing w:after="120" w:line="288" w:lineRule="auto"/>
        <w:ind w:firstLine="709"/>
        <w:jc w:val="both"/>
        <w:rPr>
          <w:rFonts w:ascii="Times New Roman" w:eastAsia=".VnTime" w:hAnsi="Times New Roman"/>
          <w:bCs/>
          <w:sz w:val="28"/>
          <w:szCs w:val="28"/>
          <w:lang w:val="nl-NL" w:eastAsia="ar-SA"/>
        </w:rPr>
      </w:pPr>
      <w:r w:rsidRPr="008C30F1">
        <w:rPr>
          <w:rFonts w:ascii="Times New Roman" w:eastAsia=".VnTime" w:hAnsi="Times New Roman"/>
          <w:bCs/>
          <w:sz w:val="28"/>
          <w:szCs w:val="28"/>
          <w:lang w:val="nl-NL" w:eastAsia="ar-SA"/>
        </w:rPr>
        <w:t xml:space="preserve">- </w:t>
      </w:r>
      <w:r w:rsidR="00282616" w:rsidRPr="008C30F1">
        <w:rPr>
          <w:rFonts w:ascii="Times New Roman" w:eastAsia=".VnTime" w:hAnsi="Times New Roman"/>
          <w:bCs/>
          <w:sz w:val="28"/>
          <w:szCs w:val="28"/>
          <w:lang w:val="nl-NL" w:eastAsia="ar-SA"/>
        </w:rPr>
        <w:t>Kiểm tra, giám sát chặt chẽ việc triển khai Đề án, tham mưu giải quyết các kiến nghị, đề xuất của Uỷ ban nhân dân</w:t>
      </w:r>
      <w:r w:rsidR="006D1B19" w:rsidRPr="008C30F1">
        <w:rPr>
          <w:rFonts w:ascii="Times New Roman" w:eastAsia=".VnTime" w:hAnsi="Times New Roman"/>
          <w:bCs/>
          <w:sz w:val="28"/>
          <w:szCs w:val="28"/>
          <w:lang w:val="nl-NL" w:eastAsia="ar-SA"/>
        </w:rPr>
        <w:t xml:space="preserve"> </w:t>
      </w:r>
      <w:r w:rsidR="00282616" w:rsidRPr="008C30F1">
        <w:rPr>
          <w:rFonts w:ascii="Times New Roman" w:eastAsia=".VnTime" w:hAnsi="Times New Roman"/>
          <w:bCs/>
          <w:sz w:val="28"/>
          <w:szCs w:val="28"/>
          <w:lang w:val="nl-NL" w:eastAsia="ar-SA"/>
        </w:rPr>
        <w:t xml:space="preserve">cấp huyện, thành phố và NHCSXH </w:t>
      </w:r>
      <w:r w:rsidR="00F16ADA" w:rsidRPr="008C30F1">
        <w:rPr>
          <w:rFonts w:ascii="Times New Roman" w:eastAsia=".VnTime" w:hAnsi="Times New Roman"/>
          <w:bCs/>
          <w:sz w:val="28"/>
          <w:szCs w:val="28"/>
          <w:lang w:val="nl-NL" w:eastAsia="ar-SA"/>
        </w:rPr>
        <w:t>chi nhánh tỉnh Kon Tum</w:t>
      </w:r>
      <w:r w:rsidR="00282616" w:rsidRPr="008C30F1">
        <w:rPr>
          <w:rFonts w:ascii="Times New Roman" w:eastAsia=".VnTime" w:hAnsi="Times New Roman"/>
          <w:bCs/>
          <w:sz w:val="28"/>
          <w:szCs w:val="28"/>
          <w:lang w:val="nl-NL" w:eastAsia="ar-SA"/>
        </w:rPr>
        <w:t xml:space="preserve"> (chi tiết tạ</w:t>
      </w:r>
      <w:r w:rsidR="003D6AEE" w:rsidRPr="008C30F1">
        <w:rPr>
          <w:rFonts w:ascii="Times New Roman" w:eastAsia=".VnTime" w:hAnsi="Times New Roman"/>
          <w:bCs/>
          <w:sz w:val="28"/>
          <w:szCs w:val="28"/>
          <w:lang w:val="nl-NL" w:eastAsia="ar-SA"/>
        </w:rPr>
        <w:t>i P</w:t>
      </w:r>
      <w:r w:rsidR="00282616" w:rsidRPr="008C30F1">
        <w:rPr>
          <w:rFonts w:ascii="Times New Roman" w:eastAsia=".VnTime" w:hAnsi="Times New Roman"/>
          <w:bCs/>
          <w:sz w:val="28"/>
          <w:szCs w:val="28"/>
          <w:lang w:val="nl-NL" w:eastAsia="ar-SA"/>
        </w:rPr>
        <w:t>hụ lục 4</w:t>
      </w:r>
      <w:r w:rsidR="00401968" w:rsidRPr="008C30F1">
        <w:rPr>
          <w:rFonts w:ascii="Times New Roman" w:hAnsi="Times New Roman"/>
          <w:sz w:val="28"/>
          <w:szCs w:val="28"/>
          <w:lang w:val="nl-NL"/>
        </w:rPr>
        <w:t xml:space="preserve"> kèm theo</w:t>
      </w:r>
      <w:r w:rsidR="00282616" w:rsidRPr="008C30F1">
        <w:rPr>
          <w:rFonts w:ascii="Times New Roman" w:eastAsia=".VnTime" w:hAnsi="Times New Roman"/>
          <w:bCs/>
          <w:sz w:val="28"/>
          <w:szCs w:val="28"/>
          <w:lang w:val="nl-NL" w:eastAsia="ar-SA"/>
        </w:rPr>
        <w:t>)</w:t>
      </w:r>
      <w:r w:rsidR="00282616" w:rsidRPr="008C30F1">
        <w:rPr>
          <w:rFonts w:ascii="Times New Roman" w:eastAsia=".VnTime" w:hAnsi="Times New Roman"/>
          <w:bCs/>
          <w:i/>
          <w:sz w:val="28"/>
          <w:szCs w:val="28"/>
          <w:lang w:val="nl-NL" w:eastAsia="ar-SA"/>
        </w:rPr>
        <w:t>,</w:t>
      </w:r>
      <w:r w:rsidR="00282616" w:rsidRPr="008C30F1">
        <w:rPr>
          <w:rFonts w:ascii="Times New Roman" w:eastAsia=".VnTime" w:hAnsi="Times New Roman"/>
          <w:bCs/>
          <w:sz w:val="28"/>
          <w:szCs w:val="28"/>
          <w:lang w:val="nl-NL" w:eastAsia="ar-SA"/>
        </w:rPr>
        <w:t xml:space="preserve"> đồng thời rà soát các </w:t>
      </w:r>
      <w:r w:rsidR="00282616" w:rsidRPr="008C30F1">
        <w:rPr>
          <w:rFonts w:ascii="Times New Roman" w:eastAsia=".VnTime" w:hAnsi="Times New Roman"/>
          <w:bCs/>
          <w:sz w:val="28"/>
          <w:szCs w:val="28"/>
          <w:lang w:val="nl-NL" w:eastAsia="ar-SA"/>
        </w:rPr>
        <w:lastRenderedPageBreak/>
        <w:t>nội dung của Nghị quyết 67/2019/NQ-HĐND và Đề án để tham mưu Hội đồng nhân dân tỉnh sửa đổi, bổ sung cho phù hợp (nếu xét thấy cần thiết)</w:t>
      </w:r>
      <w:r w:rsidR="00282616" w:rsidRPr="008C30F1">
        <w:rPr>
          <w:rFonts w:ascii="Times New Roman" w:eastAsia=".VnTime" w:hAnsi="Times New Roman"/>
          <w:bCs/>
          <w:i/>
          <w:sz w:val="28"/>
          <w:szCs w:val="28"/>
          <w:lang w:val="nl-NL" w:eastAsia="ar-SA"/>
        </w:rPr>
        <w:t>.</w:t>
      </w:r>
    </w:p>
    <w:p w:rsidR="006D1B19" w:rsidRPr="008C30F1" w:rsidRDefault="00282616"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 Thực hiện đúng </w:t>
      </w:r>
      <w:r w:rsidR="006D1B19" w:rsidRPr="008C30F1">
        <w:rPr>
          <w:rFonts w:ascii="Times New Roman" w:hAnsi="Times New Roman"/>
          <w:sz w:val="28"/>
          <w:szCs w:val="28"/>
          <w:lang w:val="en-US"/>
        </w:rPr>
        <w:t xml:space="preserve">các quy định về chế độ kiểm tra, giám sát, </w:t>
      </w:r>
      <w:r w:rsidRPr="008C30F1">
        <w:rPr>
          <w:rFonts w:ascii="Times New Roman" w:hAnsi="Times New Roman"/>
          <w:sz w:val="28"/>
          <w:szCs w:val="28"/>
          <w:lang w:val="en-US"/>
        </w:rPr>
        <w:t>công tác thông tin, báo cáo</w:t>
      </w:r>
      <w:r w:rsidR="006D1B19" w:rsidRPr="008C30F1">
        <w:rPr>
          <w:rFonts w:ascii="Times New Roman" w:hAnsi="Times New Roman"/>
          <w:sz w:val="28"/>
          <w:szCs w:val="28"/>
          <w:lang w:val="en-US"/>
        </w:rPr>
        <w:t xml:space="preserve"> định kỳ.</w:t>
      </w:r>
    </w:p>
    <w:p w:rsidR="00831CC2" w:rsidRPr="008C30F1" w:rsidRDefault="006D1B19" w:rsidP="008C30F1">
      <w:pPr>
        <w:spacing w:after="120" w:line="288" w:lineRule="auto"/>
        <w:ind w:firstLine="720"/>
        <w:jc w:val="both"/>
        <w:rPr>
          <w:rFonts w:ascii="Times New Roman" w:hAnsi="Times New Roman"/>
          <w:b/>
          <w:sz w:val="28"/>
          <w:szCs w:val="28"/>
          <w:lang w:val="it-IT"/>
        </w:rPr>
      </w:pPr>
      <w:r w:rsidRPr="008C30F1">
        <w:rPr>
          <w:rFonts w:ascii="Times New Roman" w:hAnsi="Times New Roman"/>
          <w:b/>
          <w:sz w:val="28"/>
          <w:szCs w:val="28"/>
          <w:lang w:val="en-US"/>
        </w:rPr>
        <w:t xml:space="preserve">2. </w:t>
      </w:r>
      <w:r w:rsidR="0076470C" w:rsidRPr="008C30F1">
        <w:rPr>
          <w:rFonts w:ascii="Times New Roman" w:hAnsi="Times New Roman"/>
          <w:b/>
          <w:sz w:val="28"/>
          <w:szCs w:val="28"/>
          <w:lang w:val="it-IT"/>
        </w:rPr>
        <w:t>NHCSXH chi nhá</w:t>
      </w:r>
      <w:r w:rsidR="00831CC2" w:rsidRPr="008C30F1">
        <w:rPr>
          <w:rFonts w:ascii="Times New Roman" w:hAnsi="Times New Roman"/>
          <w:b/>
          <w:sz w:val="28"/>
          <w:szCs w:val="28"/>
          <w:lang w:val="it-IT"/>
        </w:rPr>
        <w:t>nh tỉnh Kon Tum:</w:t>
      </w:r>
    </w:p>
    <w:p w:rsidR="00965A2B" w:rsidRPr="008C30F1" w:rsidRDefault="00965A2B"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 </w:t>
      </w:r>
      <w:r w:rsidR="006D1B19" w:rsidRPr="008C30F1">
        <w:rPr>
          <w:rFonts w:ascii="Times New Roman" w:hAnsi="Times New Roman"/>
          <w:sz w:val="28"/>
          <w:szCs w:val="28"/>
          <w:lang w:val="en-US"/>
        </w:rPr>
        <w:t xml:space="preserve">Chủ trì phối hợp với UBND cấp xã tổ chức </w:t>
      </w:r>
      <w:r w:rsidRPr="008C30F1">
        <w:rPr>
          <w:rFonts w:ascii="Times New Roman" w:hAnsi="Times New Roman"/>
          <w:sz w:val="28"/>
          <w:szCs w:val="28"/>
          <w:lang w:val="en-US"/>
        </w:rPr>
        <w:t xml:space="preserve">tập huấn, hướng dẫn </w:t>
      </w:r>
      <w:r w:rsidR="006D1B19" w:rsidRPr="008C30F1">
        <w:rPr>
          <w:rFonts w:ascii="Times New Roman" w:hAnsi="Times New Roman"/>
          <w:sz w:val="28"/>
          <w:szCs w:val="28"/>
          <w:lang w:val="en-US"/>
        </w:rPr>
        <w:t>cho cán bộ cấp cơ sở để thống nhất quy trình triể</w:t>
      </w:r>
      <w:r w:rsidR="00E1220D" w:rsidRPr="008C30F1">
        <w:rPr>
          <w:rFonts w:ascii="Times New Roman" w:hAnsi="Times New Roman"/>
          <w:sz w:val="28"/>
          <w:szCs w:val="28"/>
          <w:lang w:val="en-US"/>
        </w:rPr>
        <w:t>n khai Đ</w:t>
      </w:r>
      <w:r w:rsidR="006D1B19" w:rsidRPr="008C30F1">
        <w:rPr>
          <w:rFonts w:ascii="Times New Roman" w:hAnsi="Times New Roman"/>
          <w:sz w:val="28"/>
          <w:szCs w:val="28"/>
          <w:lang w:val="en-US"/>
        </w:rPr>
        <w:t>ề án; quản lý sử dụng nguồn vốn vay hiệu quả.</w:t>
      </w:r>
    </w:p>
    <w:p w:rsidR="006D1B19" w:rsidRPr="008C30F1" w:rsidRDefault="00965A2B"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 </w:t>
      </w:r>
      <w:r w:rsidR="006D1B19" w:rsidRPr="008C30F1">
        <w:rPr>
          <w:rFonts w:ascii="Times New Roman" w:hAnsi="Times New Roman"/>
          <w:sz w:val="28"/>
          <w:szCs w:val="28"/>
          <w:lang w:val="en-US"/>
        </w:rPr>
        <w:t xml:space="preserve">Chủ động </w:t>
      </w:r>
      <w:r w:rsidRPr="008C30F1">
        <w:rPr>
          <w:rFonts w:ascii="Times New Roman" w:hAnsi="Times New Roman"/>
          <w:sz w:val="28"/>
          <w:szCs w:val="28"/>
          <w:lang w:val="en-US"/>
        </w:rPr>
        <w:t xml:space="preserve">kiểm tra, giám sát </w:t>
      </w:r>
      <w:r w:rsidR="006D1B19" w:rsidRPr="008C30F1">
        <w:rPr>
          <w:rFonts w:ascii="Times New Roman" w:hAnsi="Times New Roman"/>
          <w:sz w:val="28"/>
          <w:szCs w:val="28"/>
          <w:lang w:val="en-US"/>
        </w:rPr>
        <w:t>việc thực hiện đề án tại hệ thống chi nhánh cấp huyện để kịp thời phát hiện, đề xuất cấp có thẩm quyền xử lý những vướng mắc, bất cập liên quan đến nghiệp vụ của ngân hàng</w:t>
      </w:r>
      <w:r w:rsidR="0054408F" w:rsidRPr="008C30F1">
        <w:rPr>
          <w:rFonts w:ascii="Times New Roman" w:hAnsi="Times New Roman"/>
          <w:sz w:val="28"/>
          <w:szCs w:val="28"/>
          <w:lang w:val="en-US"/>
        </w:rPr>
        <w:t>.</w:t>
      </w:r>
    </w:p>
    <w:p w:rsidR="00831CC2" w:rsidRPr="008C30F1" w:rsidRDefault="00831CC2" w:rsidP="008C30F1">
      <w:pPr>
        <w:spacing w:after="120" w:line="288" w:lineRule="auto"/>
        <w:ind w:firstLine="720"/>
        <w:jc w:val="both"/>
        <w:rPr>
          <w:rFonts w:ascii="Times New Roman" w:hAnsi="Times New Roman"/>
          <w:b/>
          <w:sz w:val="28"/>
          <w:szCs w:val="28"/>
          <w:lang w:val="en-US"/>
        </w:rPr>
      </w:pPr>
      <w:r w:rsidRPr="008C30F1">
        <w:rPr>
          <w:rFonts w:ascii="Times New Roman" w:hAnsi="Times New Roman"/>
          <w:b/>
          <w:sz w:val="28"/>
          <w:szCs w:val="28"/>
          <w:lang w:val="en-US"/>
        </w:rPr>
        <w:t xml:space="preserve">3. </w:t>
      </w:r>
      <w:r w:rsidR="00E1220D" w:rsidRPr="008C30F1">
        <w:rPr>
          <w:rFonts w:ascii="Times New Roman" w:hAnsi="Times New Roman"/>
          <w:b/>
          <w:sz w:val="28"/>
          <w:szCs w:val="28"/>
          <w:lang w:val="en-US"/>
        </w:rPr>
        <w:t>UBND</w:t>
      </w:r>
      <w:r w:rsidR="006D1B19" w:rsidRPr="008C30F1">
        <w:rPr>
          <w:rFonts w:ascii="Times New Roman" w:hAnsi="Times New Roman"/>
          <w:b/>
          <w:sz w:val="28"/>
          <w:szCs w:val="28"/>
          <w:lang w:val="en-US"/>
        </w:rPr>
        <w:t xml:space="preserve"> các huyện, thành phố</w:t>
      </w:r>
      <w:r w:rsidR="001239D6" w:rsidRPr="008C30F1">
        <w:rPr>
          <w:rFonts w:ascii="Times New Roman" w:hAnsi="Times New Roman"/>
          <w:b/>
          <w:sz w:val="28"/>
          <w:szCs w:val="28"/>
          <w:lang w:val="en-US"/>
        </w:rPr>
        <w:t xml:space="preserve"> chỉ đạo</w:t>
      </w:r>
      <w:r w:rsidR="006D1B19" w:rsidRPr="008C30F1">
        <w:rPr>
          <w:rFonts w:ascii="Times New Roman" w:hAnsi="Times New Roman"/>
          <w:b/>
          <w:sz w:val="28"/>
          <w:szCs w:val="28"/>
          <w:lang w:val="en-US"/>
        </w:rPr>
        <w:t>:</w:t>
      </w:r>
      <w:r w:rsidR="00344F4A" w:rsidRPr="008C30F1">
        <w:rPr>
          <w:rFonts w:ascii="Times New Roman" w:hAnsi="Times New Roman"/>
          <w:b/>
          <w:sz w:val="28"/>
          <w:szCs w:val="28"/>
          <w:lang w:val="en-US"/>
        </w:rPr>
        <w:t xml:space="preserve"> </w:t>
      </w:r>
    </w:p>
    <w:p w:rsidR="001239D6" w:rsidRPr="008C30F1" w:rsidRDefault="002951B3"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 </w:t>
      </w:r>
      <w:r w:rsidR="001239D6" w:rsidRPr="008C30F1">
        <w:rPr>
          <w:rFonts w:ascii="Times New Roman" w:hAnsi="Times New Roman"/>
          <w:sz w:val="28"/>
          <w:szCs w:val="28"/>
          <w:lang w:val="en-US"/>
        </w:rPr>
        <w:t>Tăng cường công tác tuyên truyền</w:t>
      </w:r>
      <w:r w:rsidR="00704F2A">
        <w:rPr>
          <w:rFonts w:ascii="Times New Roman" w:hAnsi="Times New Roman"/>
          <w:sz w:val="28"/>
          <w:szCs w:val="28"/>
          <w:lang w:val="en-US"/>
        </w:rPr>
        <w:t>, phổ biến</w:t>
      </w:r>
      <w:r w:rsidR="001239D6" w:rsidRPr="008C30F1">
        <w:rPr>
          <w:rFonts w:ascii="Times New Roman" w:hAnsi="Times New Roman"/>
          <w:sz w:val="28"/>
          <w:szCs w:val="28"/>
          <w:lang w:val="en-US"/>
        </w:rPr>
        <w:t xml:space="preserve"> để nhân dân nắm bắt </w:t>
      </w:r>
      <w:r w:rsidR="00704F2A">
        <w:rPr>
          <w:rFonts w:ascii="Times New Roman" w:hAnsi="Times New Roman"/>
          <w:sz w:val="28"/>
          <w:szCs w:val="28"/>
          <w:lang w:val="en-US"/>
        </w:rPr>
        <w:t xml:space="preserve">đầy đủ </w:t>
      </w:r>
      <w:r w:rsidR="001239D6" w:rsidRPr="008C30F1">
        <w:rPr>
          <w:rFonts w:ascii="Times New Roman" w:hAnsi="Times New Roman"/>
          <w:sz w:val="28"/>
          <w:szCs w:val="28"/>
          <w:lang w:val="en-US"/>
        </w:rPr>
        <w:t>chủ trương</w:t>
      </w:r>
      <w:r w:rsidR="00704F2A">
        <w:rPr>
          <w:rFonts w:ascii="Times New Roman" w:hAnsi="Times New Roman"/>
          <w:sz w:val="28"/>
          <w:szCs w:val="28"/>
          <w:lang w:val="en-US"/>
        </w:rPr>
        <w:t xml:space="preserve">, chính sách </w:t>
      </w:r>
      <w:r w:rsidR="00394293" w:rsidRPr="008C30F1">
        <w:rPr>
          <w:rFonts w:ascii="Times New Roman" w:hAnsi="Times New Roman"/>
          <w:sz w:val="28"/>
          <w:szCs w:val="28"/>
          <w:lang w:val="en-US"/>
        </w:rPr>
        <w:t xml:space="preserve">của </w:t>
      </w:r>
      <w:r w:rsidR="001239D6" w:rsidRPr="008C30F1">
        <w:rPr>
          <w:rFonts w:ascii="Times New Roman" w:hAnsi="Times New Roman"/>
          <w:sz w:val="28"/>
          <w:szCs w:val="28"/>
          <w:lang w:val="en-US"/>
        </w:rPr>
        <w:t>Đề</w:t>
      </w:r>
      <w:r w:rsidR="00394293" w:rsidRPr="008C30F1">
        <w:rPr>
          <w:rFonts w:ascii="Times New Roman" w:hAnsi="Times New Roman"/>
          <w:sz w:val="28"/>
          <w:szCs w:val="28"/>
          <w:lang w:val="en-US"/>
        </w:rPr>
        <w:t xml:space="preserve"> án, </w:t>
      </w:r>
      <w:r w:rsidR="001239D6" w:rsidRPr="008C30F1">
        <w:rPr>
          <w:rFonts w:ascii="Times New Roman" w:hAnsi="Times New Roman"/>
          <w:sz w:val="28"/>
          <w:szCs w:val="28"/>
          <w:lang w:val="en-US"/>
        </w:rPr>
        <w:t>khi phát sinh nhu cầu, nhân dân sớm tiếp cận nguồn vốn</w:t>
      </w:r>
      <w:r w:rsidR="0054408F" w:rsidRPr="008C30F1">
        <w:rPr>
          <w:rFonts w:ascii="Times New Roman" w:hAnsi="Times New Roman"/>
          <w:sz w:val="28"/>
          <w:szCs w:val="28"/>
          <w:lang w:val="en-US"/>
        </w:rPr>
        <w:t>.</w:t>
      </w:r>
    </w:p>
    <w:p w:rsidR="001239D6" w:rsidRPr="008C30F1" w:rsidRDefault="001239D6" w:rsidP="008C30F1">
      <w:pPr>
        <w:spacing w:after="12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 Uỷ ban nhân dân các xã, phường, thị trấn triển khai đến </w:t>
      </w:r>
      <w:r w:rsidR="00704F2A">
        <w:rPr>
          <w:rFonts w:ascii="Times New Roman" w:hAnsi="Times New Roman"/>
          <w:sz w:val="28"/>
          <w:szCs w:val="28"/>
          <w:lang w:val="en-US"/>
        </w:rPr>
        <w:t xml:space="preserve">Thôn </w:t>
      </w:r>
      <w:r w:rsidRPr="008C30F1">
        <w:rPr>
          <w:rFonts w:ascii="Times New Roman" w:hAnsi="Times New Roman"/>
          <w:sz w:val="28"/>
          <w:szCs w:val="28"/>
          <w:lang w:val="en-US"/>
        </w:rPr>
        <w:t>trưởng</w:t>
      </w:r>
      <w:r w:rsidR="00704F2A">
        <w:rPr>
          <w:rFonts w:ascii="Times New Roman" w:hAnsi="Times New Roman"/>
          <w:sz w:val="28"/>
          <w:szCs w:val="28"/>
          <w:lang w:val="en-US"/>
        </w:rPr>
        <w:t>, Tổ trưởng</w:t>
      </w:r>
      <w:r w:rsidRPr="008C30F1">
        <w:rPr>
          <w:rFonts w:ascii="Times New Roman" w:hAnsi="Times New Roman"/>
          <w:sz w:val="28"/>
          <w:szCs w:val="28"/>
          <w:lang w:val="en-US"/>
        </w:rPr>
        <w:t xml:space="preserve"> khu dân cư, các Tổ tiết kiệm và vay vốn của các tổ chức nhận uỷ thác</w:t>
      </w:r>
      <w:r w:rsidR="00704F2A">
        <w:rPr>
          <w:rFonts w:ascii="Times New Roman" w:hAnsi="Times New Roman"/>
          <w:sz w:val="28"/>
          <w:szCs w:val="28"/>
          <w:lang w:val="en-US"/>
        </w:rPr>
        <w:t>,</w:t>
      </w:r>
      <w:r w:rsidRPr="008C30F1">
        <w:rPr>
          <w:rFonts w:ascii="Times New Roman" w:hAnsi="Times New Roman"/>
          <w:sz w:val="28"/>
          <w:szCs w:val="28"/>
          <w:lang w:val="en-US"/>
        </w:rPr>
        <w:t xml:space="preserve"> nâng cao vai trò</w:t>
      </w:r>
      <w:r w:rsidR="00704F2A">
        <w:rPr>
          <w:rFonts w:ascii="Times New Roman" w:hAnsi="Times New Roman"/>
          <w:sz w:val="28"/>
          <w:szCs w:val="28"/>
          <w:lang w:val="en-US"/>
        </w:rPr>
        <w:t>, trách nhiệm của người đứng đầu, kịp thời nắm bắt các vấn đề phát sinh,</w:t>
      </w:r>
      <w:r w:rsidRPr="008C30F1">
        <w:rPr>
          <w:rFonts w:ascii="Times New Roman" w:hAnsi="Times New Roman"/>
          <w:sz w:val="28"/>
          <w:szCs w:val="28"/>
          <w:lang w:val="en-US"/>
        </w:rPr>
        <w:t xml:space="preserve"> </w:t>
      </w:r>
      <w:r w:rsidR="00394293" w:rsidRPr="008C30F1">
        <w:rPr>
          <w:rFonts w:ascii="Times New Roman" w:hAnsi="Times New Roman"/>
          <w:sz w:val="28"/>
          <w:szCs w:val="28"/>
          <w:lang w:val="en-US"/>
        </w:rPr>
        <w:t xml:space="preserve">điều kiện, hoàn cảnh của </w:t>
      </w:r>
      <w:r w:rsidR="00704F2A">
        <w:rPr>
          <w:rFonts w:ascii="Times New Roman" w:hAnsi="Times New Roman"/>
          <w:sz w:val="28"/>
          <w:szCs w:val="28"/>
          <w:lang w:val="en-US"/>
        </w:rPr>
        <w:t xml:space="preserve">các </w:t>
      </w:r>
      <w:r w:rsidR="00394293" w:rsidRPr="008C30F1">
        <w:rPr>
          <w:rFonts w:ascii="Times New Roman" w:hAnsi="Times New Roman"/>
          <w:sz w:val="28"/>
          <w:szCs w:val="28"/>
          <w:lang w:val="en-US"/>
        </w:rPr>
        <w:t>hộ gia đình và hội viên thuộc quản lý</w:t>
      </w:r>
      <w:r w:rsidR="00704F2A">
        <w:rPr>
          <w:rFonts w:ascii="Times New Roman" w:hAnsi="Times New Roman"/>
          <w:sz w:val="28"/>
          <w:szCs w:val="28"/>
          <w:lang w:val="en-US"/>
        </w:rPr>
        <w:t>,</w:t>
      </w:r>
      <w:r w:rsidR="00394293" w:rsidRPr="008C30F1">
        <w:rPr>
          <w:rFonts w:ascii="Times New Roman" w:hAnsi="Times New Roman"/>
          <w:sz w:val="28"/>
          <w:szCs w:val="28"/>
          <w:lang w:val="en-US"/>
        </w:rPr>
        <w:t xml:space="preserve"> kịp thời tư vấn</w:t>
      </w:r>
      <w:r w:rsidR="00704F2A">
        <w:rPr>
          <w:rFonts w:ascii="Times New Roman" w:hAnsi="Times New Roman"/>
          <w:sz w:val="28"/>
          <w:szCs w:val="28"/>
          <w:lang w:val="en-US"/>
        </w:rPr>
        <w:t>, hướng dẫn tiếp cận chính sách</w:t>
      </w:r>
      <w:r w:rsidR="00394293" w:rsidRPr="008C30F1">
        <w:rPr>
          <w:rFonts w:ascii="Times New Roman" w:hAnsi="Times New Roman"/>
          <w:sz w:val="28"/>
          <w:szCs w:val="28"/>
          <w:lang w:val="en-US"/>
        </w:rPr>
        <w:t>; phối hợp chặt chẽ trong</w:t>
      </w:r>
      <w:r w:rsidRPr="008C30F1">
        <w:rPr>
          <w:rFonts w:ascii="Times New Roman" w:hAnsi="Times New Roman"/>
          <w:sz w:val="28"/>
          <w:szCs w:val="28"/>
          <w:lang w:val="en-US"/>
        </w:rPr>
        <w:t xml:space="preserve"> </w:t>
      </w:r>
      <w:r w:rsidR="00692322">
        <w:rPr>
          <w:rFonts w:ascii="Times New Roman" w:hAnsi="Times New Roman"/>
          <w:sz w:val="28"/>
          <w:szCs w:val="28"/>
          <w:lang w:val="en-US"/>
        </w:rPr>
        <w:t xml:space="preserve">việc </w:t>
      </w:r>
      <w:r w:rsidRPr="008C30F1">
        <w:rPr>
          <w:rFonts w:ascii="Times New Roman" w:hAnsi="Times New Roman"/>
          <w:sz w:val="28"/>
          <w:szCs w:val="28"/>
          <w:lang w:val="en-US"/>
        </w:rPr>
        <w:t xml:space="preserve">xác nhận, phê duyệt đối tượng vay vốn, hướng dẫn người vay vốn sử dụng vốn vay đúng mục đích; thực hiện kiểm tra, giám sát việc sử dụng vốn vay có hiệu quả, trả lãi, trả nợ đúng quy định. </w:t>
      </w:r>
    </w:p>
    <w:p w:rsidR="00AC7A5A" w:rsidRPr="00AC7A5A" w:rsidRDefault="006453FC" w:rsidP="00AC7A5A">
      <w:pPr>
        <w:spacing w:after="360" w:line="288" w:lineRule="auto"/>
        <w:ind w:firstLine="720"/>
        <w:jc w:val="both"/>
        <w:rPr>
          <w:rFonts w:ascii="Times New Roman" w:hAnsi="Times New Roman"/>
          <w:sz w:val="28"/>
          <w:szCs w:val="28"/>
          <w:lang w:val="en-US"/>
        </w:rPr>
      </w:pPr>
      <w:r w:rsidRPr="008C30F1">
        <w:rPr>
          <w:rFonts w:ascii="Times New Roman" w:hAnsi="Times New Roman"/>
          <w:sz w:val="28"/>
          <w:szCs w:val="28"/>
          <w:lang w:val="en-US"/>
        </w:rPr>
        <w:t xml:space="preserve">Trên đây là báo cáo của </w:t>
      </w:r>
      <w:r w:rsidR="002951B3" w:rsidRPr="008C30F1">
        <w:rPr>
          <w:rFonts w:ascii="Times New Roman" w:hAnsi="Times New Roman"/>
          <w:sz w:val="28"/>
          <w:szCs w:val="28"/>
          <w:lang w:val="en-US"/>
        </w:rPr>
        <w:t>Đoàn giám sát</w:t>
      </w:r>
      <w:r w:rsidRPr="008C30F1">
        <w:rPr>
          <w:rFonts w:ascii="Times New Roman" w:hAnsi="Times New Roman"/>
          <w:sz w:val="28"/>
          <w:szCs w:val="28"/>
          <w:lang w:val="en-US"/>
        </w:rPr>
        <w:t xml:space="preserve"> Hội đồng nhân dân tỉnh về kết quả giám sát </w:t>
      </w:r>
      <w:r w:rsidR="002951B3" w:rsidRPr="008C30F1">
        <w:rPr>
          <w:rFonts w:ascii="Times New Roman" w:hAnsi="Times New Roman"/>
          <w:sz w:val="28"/>
          <w:szCs w:val="28"/>
          <w:lang w:val="en-US"/>
        </w:rPr>
        <w:t>tình hình triển khai thực hiện Nghị quyết số 67/2019/NQ-HĐND trên địa bàn tỉnh Kon Tum</w:t>
      </w:r>
      <w:r w:rsidR="00A604D4" w:rsidRPr="008C30F1">
        <w:rPr>
          <w:rFonts w:ascii="Times New Roman" w:hAnsi="Times New Roman"/>
          <w:sz w:val="28"/>
          <w:szCs w:val="28"/>
          <w:lang w:val="en-US"/>
        </w:rPr>
        <w:t>.</w:t>
      </w:r>
      <w:r w:rsidRPr="008C30F1">
        <w:rPr>
          <w:rFonts w:ascii="Times New Roman" w:hAnsi="Times New Roman"/>
          <w:sz w:val="28"/>
          <w:szCs w:val="28"/>
          <w:lang w:val="en-US"/>
        </w:rPr>
        <w:t>/.</w:t>
      </w:r>
    </w:p>
    <w:tbl>
      <w:tblPr>
        <w:tblW w:w="4974" w:type="pct"/>
        <w:jc w:val="center"/>
        <w:tblLook w:val="0000" w:firstRow="0" w:lastRow="0" w:firstColumn="0" w:lastColumn="0" w:noHBand="0" w:noVBand="0"/>
      </w:tblPr>
      <w:tblGrid>
        <w:gridCol w:w="5192"/>
        <w:gridCol w:w="4047"/>
      </w:tblGrid>
      <w:tr w:rsidR="00A9598E" w:rsidRPr="008C30F1" w:rsidTr="00B11706">
        <w:trPr>
          <w:jc w:val="center"/>
        </w:trPr>
        <w:tc>
          <w:tcPr>
            <w:tcW w:w="2810" w:type="pct"/>
          </w:tcPr>
          <w:p w:rsidR="00A9598E" w:rsidRPr="008C30F1" w:rsidRDefault="00A9598E" w:rsidP="00A9598E">
            <w:pPr>
              <w:spacing w:after="0" w:line="240" w:lineRule="auto"/>
              <w:rPr>
                <w:rFonts w:ascii="Times New Roman" w:eastAsia="SimSun" w:hAnsi="Times New Roman"/>
                <w:b/>
                <w:i/>
                <w:sz w:val="24"/>
                <w:szCs w:val="24"/>
                <w:lang w:val="en-US"/>
              </w:rPr>
            </w:pPr>
            <w:r w:rsidRPr="008C30F1">
              <w:rPr>
                <w:rFonts w:ascii="Times New Roman" w:eastAsia="SimSun" w:hAnsi="Times New Roman"/>
                <w:b/>
                <w:i/>
                <w:sz w:val="24"/>
                <w:szCs w:val="24"/>
              </w:rPr>
              <w:t>Nơi nhận:</w:t>
            </w:r>
          </w:p>
        </w:tc>
        <w:tc>
          <w:tcPr>
            <w:tcW w:w="2190" w:type="pct"/>
          </w:tcPr>
          <w:p w:rsidR="00A9598E" w:rsidRPr="008C30F1" w:rsidRDefault="00A9598E" w:rsidP="00A9598E">
            <w:pPr>
              <w:spacing w:after="0" w:line="240" w:lineRule="auto"/>
              <w:jc w:val="center"/>
              <w:rPr>
                <w:rFonts w:ascii="Times New Roman" w:eastAsia="SimSun" w:hAnsi="Times New Roman"/>
                <w:b/>
                <w:sz w:val="28"/>
                <w:szCs w:val="28"/>
                <w:lang w:val="en-US"/>
              </w:rPr>
            </w:pPr>
            <w:r w:rsidRPr="008C30F1">
              <w:rPr>
                <w:rFonts w:ascii="Times New Roman" w:eastAsia="SimSun" w:hAnsi="Times New Roman"/>
                <w:b/>
                <w:sz w:val="28"/>
                <w:szCs w:val="28"/>
                <w:lang w:val="en-US"/>
              </w:rPr>
              <w:t>TM. ĐOÀN GIÁM SÁT</w:t>
            </w:r>
          </w:p>
        </w:tc>
      </w:tr>
      <w:tr w:rsidR="00A9598E" w:rsidRPr="008C30F1" w:rsidTr="00B11706">
        <w:trPr>
          <w:jc w:val="center"/>
        </w:trPr>
        <w:tc>
          <w:tcPr>
            <w:tcW w:w="2810" w:type="pct"/>
          </w:tcPr>
          <w:p w:rsidR="00A9598E" w:rsidRPr="008C30F1" w:rsidRDefault="00A9598E" w:rsidP="00A9598E">
            <w:pPr>
              <w:spacing w:after="0" w:line="240" w:lineRule="auto"/>
              <w:rPr>
                <w:rFonts w:ascii="Times New Roman" w:eastAsia="SimSun" w:hAnsi="Times New Roman"/>
              </w:rPr>
            </w:pPr>
            <w:r w:rsidRPr="008C30F1">
              <w:rPr>
                <w:rFonts w:ascii="Times New Roman" w:eastAsia="SimSun" w:hAnsi="Times New Roman"/>
              </w:rPr>
              <w:t xml:space="preserve">- </w:t>
            </w:r>
            <w:r w:rsidRPr="008C30F1">
              <w:rPr>
                <w:rFonts w:ascii="Times New Roman" w:eastAsia="SimSun" w:hAnsi="Times New Roman"/>
                <w:lang w:val="nl-NL"/>
              </w:rPr>
              <w:t>Như trên</w:t>
            </w:r>
            <w:r w:rsidRPr="008C30F1">
              <w:rPr>
                <w:rFonts w:ascii="Times New Roman" w:eastAsia="SimSun" w:hAnsi="Times New Roman"/>
              </w:rPr>
              <w:t>;</w:t>
            </w:r>
          </w:p>
          <w:p w:rsidR="00A9598E" w:rsidRPr="008C30F1" w:rsidRDefault="00A9598E" w:rsidP="00A9598E">
            <w:pPr>
              <w:spacing w:after="0" w:line="240" w:lineRule="auto"/>
              <w:rPr>
                <w:rFonts w:ascii="Times New Roman" w:eastAsia="SimSun" w:hAnsi="Times New Roman"/>
                <w:lang w:val="nl-NL"/>
              </w:rPr>
            </w:pPr>
            <w:r w:rsidRPr="008C30F1">
              <w:rPr>
                <w:rFonts w:ascii="Times New Roman" w:eastAsia="SimSun" w:hAnsi="Times New Roman"/>
                <w:lang w:val="nl-NL"/>
              </w:rPr>
              <w:t>- Ban Thường vụ Tỉnh ủy (b/c);</w:t>
            </w:r>
          </w:p>
          <w:p w:rsidR="00A9598E" w:rsidRPr="008C30F1" w:rsidRDefault="00A9598E" w:rsidP="00A9598E">
            <w:pPr>
              <w:spacing w:after="0" w:line="240" w:lineRule="auto"/>
              <w:rPr>
                <w:rFonts w:ascii="Times New Roman" w:eastAsia="SimSun" w:hAnsi="Times New Roman"/>
              </w:rPr>
            </w:pPr>
            <w:r w:rsidRPr="008C30F1">
              <w:rPr>
                <w:rFonts w:ascii="Times New Roman" w:eastAsia="SimSun" w:hAnsi="Times New Roman"/>
              </w:rPr>
              <w:t>- Thường trực HĐND tỉnh;</w:t>
            </w:r>
          </w:p>
          <w:p w:rsidR="00A9598E" w:rsidRPr="008C30F1" w:rsidRDefault="00A9598E" w:rsidP="00A9598E">
            <w:pPr>
              <w:spacing w:after="0" w:line="240" w:lineRule="auto"/>
              <w:rPr>
                <w:rFonts w:ascii="Times New Roman" w:eastAsia="SimSun" w:hAnsi="Times New Roman"/>
                <w:lang w:val="nl-NL"/>
              </w:rPr>
            </w:pPr>
            <w:r w:rsidRPr="008C30F1">
              <w:rPr>
                <w:rFonts w:ascii="Times New Roman" w:eastAsia="SimSun" w:hAnsi="Times New Roman"/>
                <w:lang w:val="nl-NL"/>
              </w:rPr>
              <w:t>- Thành viên Đoàn giám sát;</w:t>
            </w:r>
          </w:p>
          <w:p w:rsidR="00A9598E" w:rsidRPr="008C30F1" w:rsidRDefault="00A9598E" w:rsidP="00A9598E">
            <w:pPr>
              <w:spacing w:after="0" w:line="240" w:lineRule="auto"/>
              <w:rPr>
                <w:rFonts w:ascii="Times New Roman" w:eastAsia="SimSun" w:hAnsi="Times New Roman"/>
                <w:lang w:val="nl-NL"/>
              </w:rPr>
            </w:pPr>
            <w:r w:rsidRPr="008C30F1">
              <w:rPr>
                <w:rFonts w:ascii="Times New Roman" w:eastAsia="SimSun" w:hAnsi="Times New Roman"/>
                <w:lang w:val="nl-NL"/>
              </w:rPr>
              <w:t>- Lãnh đạ</w:t>
            </w:r>
            <w:r w:rsidR="008A2F34" w:rsidRPr="008C30F1">
              <w:rPr>
                <w:rFonts w:ascii="Times New Roman" w:eastAsia="SimSun" w:hAnsi="Times New Roman"/>
                <w:lang w:val="nl-NL"/>
              </w:rPr>
              <w:t xml:space="preserve">o Văn  phòng </w:t>
            </w:r>
            <w:r w:rsidRPr="008C30F1">
              <w:rPr>
                <w:rFonts w:ascii="Times New Roman" w:eastAsia="SimSun" w:hAnsi="Times New Roman"/>
                <w:lang w:val="nl-NL"/>
              </w:rPr>
              <w:t>Đoàn ĐBQH và HĐND tỉnh;</w:t>
            </w:r>
          </w:p>
          <w:p w:rsidR="00A9598E" w:rsidRPr="008C30F1" w:rsidRDefault="00A9598E" w:rsidP="00A9598E">
            <w:pPr>
              <w:spacing w:after="0" w:line="240" w:lineRule="auto"/>
              <w:rPr>
                <w:rFonts w:ascii="Times New Roman" w:eastAsia="SimSun" w:hAnsi="Times New Roman"/>
                <w:b/>
                <w:i/>
                <w:sz w:val="24"/>
                <w:szCs w:val="24"/>
              </w:rPr>
            </w:pPr>
            <w:r w:rsidRPr="008C30F1">
              <w:rPr>
                <w:rFonts w:ascii="Times New Roman" w:eastAsia="SimSun" w:hAnsi="Times New Roman"/>
                <w:lang w:val="en-US"/>
              </w:rPr>
              <w:t>- Lưu: VT, CTHĐ</w:t>
            </w:r>
          </w:p>
        </w:tc>
        <w:tc>
          <w:tcPr>
            <w:tcW w:w="2190" w:type="pct"/>
          </w:tcPr>
          <w:p w:rsidR="00A9598E" w:rsidRPr="008C30F1" w:rsidRDefault="00A9598E" w:rsidP="00A9598E">
            <w:pPr>
              <w:spacing w:after="0" w:line="240" w:lineRule="auto"/>
              <w:jc w:val="center"/>
              <w:rPr>
                <w:rFonts w:ascii="Times New Roman" w:eastAsia="SimSun" w:hAnsi="Times New Roman"/>
                <w:b/>
                <w:sz w:val="28"/>
                <w:szCs w:val="28"/>
                <w:lang w:val="en-US"/>
              </w:rPr>
            </w:pPr>
            <w:r w:rsidRPr="008C30F1">
              <w:rPr>
                <w:rFonts w:ascii="Times New Roman" w:eastAsia="SimSun" w:hAnsi="Times New Roman"/>
                <w:b/>
                <w:sz w:val="28"/>
                <w:szCs w:val="28"/>
                <w:lang w:val="en-US"/>
              </w:rPr>
              <w:t>KT.TRƯỞNG ĐOÀN</w:t>
            </w:r>
          </w:p>
          <w:p w:rsidR="00A9598E" w:rsidRPr="008C30F1" w:rsidRDefault="00A9598E" w:rsidP="00A9598E">
            <w:pPr>
              <w:spacing w:after="0" w:line="240" w:lineRule="auto"/>
              <w:jc w:val="center"/>
              <w:rPr>
                <w:rFonts w:ascii="Times New Roman" w:eastAsia="SimSun" w:hAnsi="Times New Roman"/>
                <w:b/>
                <w:sz w:val="28"/>
                <w:szCs w:val="28"/>
                <w:lang w:val="en-US"/>
              </w:rPr>
            </w:pPr>
            <w:r w:rsidRPr="008C30F1">
              <w:rPr>
                <w:rFonts w:ascii="Times New Roman" w:eastAsia="SimSun" w:hAnsi="Times New Roman"/>
                <w:b/>
                <w:sz w:val="28"/>
                <w:szCs w:val="28"/>
                <w:lang w:val="en-US"/>
              </w:rPr>
              <w:t>PHÓ TRƯỞNG ĐOÀN</w:t>
            </w:r>
          </w:p>
          <w:p w:rsidR="00A9598E" w:rsidRPr="008C30F1" w:rsidRDefault="00A9598E" w:rsidP="00AC7A5A">
            <w:pPr>
              <w:spacing w:before="120" w:after="0" w:line="240" w:lineRule="auto"/>
              <w:jc w:val="center"/>
              <w:rPr>
                <w:rFonts w:ascii="Times New Roman" w:eastAsia="SimSun" w:hAnsi="Times New Roman"/>
                <w:b/>
                <w:sz w:val="28"/>
                <w:szCs w:val="28"/>
                <w:lang w:val="en-US"/>
              </w:rPr>
            </w:pPr>
          </w:p>
          <w:p w:rsidR="00A9598E" w:rsidRPr="00CC5619" w:rsidRDefault="00CC5619" w:rsidP="00A9598E">
            <w:pPr>
              <w:spacing w:after="0" w:line="240" w:lineRule="auto"/>
              <w:jc w:val="center"/>
              <w:rPr>
                <w:rFonts w:ascii="Times New Roman" w:eastAsia="SimSun" w:hAnsi="Times New Roman"/>
                <w:i/>
                <w:sz w:val="28"/>
                <w:szCs w:val="28"/>
                <w:lang w:val="en-US"/>
              </w:rPr>
            </w:pPr>
            <w:r w:rsidRPr="00CC5619">
              <w:rPr>
                <w:rFonts w:ascii="Times New Roman" w:eastAsia="SimSun" w:hAnsi="Times New Roman"/>
                <w:i/>
                <w:sz w:val="28"/>
                <w:szCs w:val="28"/>
                <w:lang w:val="en-US"/>
              </w:rPr>
              <w:t>(Đã ký)</w:t>
            </w:r>
          </w:p>
          <w:p w:rsidR="00AC7A5A" w:rsidRPr="008C30F1" w:rsidRDefault="00AC7A5A" w:rsidP="00AC7A5A">
            <w:pPr>
              <w:spacing w:after="0" w:line="240" w:lineRule="auto"/>
              <w:rPr>
                <w:rFonts w:ascii="Times New Roman" w:eastAsia="SimSun" w:hAnsi="Times New Roman"/>
                <w:b/>
                <w:sz w:val="28"/>
                <w:szCs w:val="28"/>
                <w:lang w:val="en-US"/>
              </w:rPr>
            </w:pPr>
          </w:p>
          <w:p w:rsidR="00AC7A5A" w:rsidRDefault="00AC7A5A" w:rsidP="00AC7A5A">
            <w:pPr>
              <w:spacing w:after="0" w:line="240" w:lineRule="auto"/>
              <w:rPr>
                <w:rFonts w:ascii="Times New Roman" w:eastAsia="SimSun" w:hAnsi="Times New Roman"/>
                <w:b/>
                <w:sz w:val="28"/>
                <w:szCs w:val="28"/>
                <w:lang w:val="en-US"/>
              </w:rPr>
            </w:pPr>
          </w:p>
          <w:p w:rsidR="00A9598E" w:rsidRPr="008C30F1" w:rsidRDefault="00A9598E" w:rsidP="00A9598E">
            <w:pPr>
              <w:spacing w:after="0" w:line="240" w:lineRule="auto"/>
              <w:jc w:val="center"/>
              <w:rPr>
                <w:rFonts w:ascii="Times New Roman" w:eastAsia="SimSun" w:hAnsi="Times New Roman"/>
                <w:b/>
                <w:sz w:val="28"/>
                <w:szCs w:val="28"/>
                <w:lang w:val="en-US"/>
              </w:rPr>
            </w:pPr>
            <w:r w:rsidRPr="008C30F1">
              <w:rPr>
                <w:rFonts w:ascii="Times New Roman" w:eastAsia="SimSun" w:hAnsi="Times New Roman"/>
                <w:b/>
                <w:sz w:val="28"/>
                <w:szCs w:val="28"/>
                <w:lang w:val="en-US"/>
              </w:rPr>
              <w:t>PHÓ CHỦ TỊCH HĐND TỈNH</w:t>
            </w:r>
          </w:p>
          <w:p w:rsidR="00A9598E" w:rsidRPr="008C30F1" w:rsidRDefault="00A9598E" w:rsidP="00A9598E">
            <w:pPr>
              <w:spacing w:after="120" w:line="240" w:lineRule="auto"/>
              <w:jc w:val="center"/>
              <w:rPr>
                <w:rFonts w:ascii="Times New Roman" w:eastAsia="SimSun" w:hAnsi="Times New Roman"/>
                <w:b/>
                <w:sz w:val="28"/>
                <w:szCs w:val="28"/>
                <w:lang w:val="en-US"/>
              </w:rPr>
            </w:pPr>
            <w:r w:rsidRPr="008C30F1">
              <w:rPr>
                <w:rFonts w:ascii="Times New Roman" w:eastAsia="SimSun" w:hAnsi="Times New Roman"/>
                <w:b/>
                <w:sz w:val="28"/>
                <w:szCs w:val="28"/>
                <w:lang w:val="en-US"/>
              </w:rPr>
              <w:t>Nghe Minh Hồng</w:t>
            </w:r>
          </w:p>
        </w:tc>
        <w:bookmarkStart w:id="5" w:name="_GoBack"/>
        <w:bookmarkEnd w:id="5"/>
      </w:tr>
    </w:tbl>
    <w:p w:rsidR="00AC7A5A" w:rsidRPr="008C30F1" w:rsidRDefault="00AC7A5A" w:rsidP="00AC7A5A">
      <w:pPr>
        <w:pStyle w:val="FootnoteText"/>
        <w:jc w:val="both"/>
        <w:rPr>
          <w:vertAlign w:val="superscript"/>
        </w:rPr>
      </w:pPr>
    </w:p>
    <w:sectPr w:rsidR="00AC7A5A" w:rsidRPr="008C30F1" w:rsidSect="00AC7A5A">
      <w:headerReference w:type="default" r:id="rId9"/>
      <w:pgSz w:w="11906" w:h="16838"/>
      <w:pgMar w:top="1134" w:right="1134" w:bottom="851"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2F" w:rsidRDefault="003B682F" w:rsidP="00A64CC7">
      <w:pPr>
        <w:spacing w:after="0" w:line="240" w:lineRule="auto"/>
      </w:pPr>
      <w:r>
        <w:separator/>
      </w:r>
    </w:p>
  </w:endnote>
  <w:endnote w:type="continuationSeparator" w:id="0">
    <w:p w:rsidR="003B682F" w:rsidRDefault="003B682F" w:rsidP="00A64CC7">
      <w:pPr>
        <w:spacing w:after="0" w:line="240" w:lineRule="auto"/>
      </w:pPr>
      <w:r>
        <w:continuationSeparator/>
      </w:r>
    </w:p>
  </w:endnote>
  <w:endnote w:type="continuationNotice" w:id="1">
    <w:p w:rsidR="003B682F" w:rsidRDefault="003B6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2F" w:rsidRDefault="003B682F" w:rsidP="00A64CC7">
      <w:pPr>
        <w:spacing w:after="0" w:line="240" w:lineRule="auto"/>
      </w:pPr>
      <w:r>
        <w:separator/>
      </w:r>
    </w:p>
  </w:footnote>
  <w:footnote w:type="continuationSeparator" w:id="0">
    <w:p w:rsidR="003B682F" w:rsidRDefault="003B682F" w:rsidP="00A64CC7">
      <w:pPr>
        <w:spacing w:after="0" w:line="240" w:lineRule="auto"/>
      </w:pPr>
      <w:r>
        <w:continuationSeparator/>
      </w:r>
    </w:p>
  </w:footnote>
  <w:footnote w:type="continuationNotice" w:id="1">
    <w:p w:rsidR="003B682F" w:rsidRDefault="003B682F">
      <w:pPr>
        <w:spacing w:after="0" w:line="240" w:lineRule="auto"/>
      </w:pPr>
    </w:p>
  </w:footnote>
  <w:footnote w:id="2">
    <w:p w:rsidR="00940AEA" w:rsidRPr="003E4462" w:rsidRDefault="00940AEA" w:rsidP="00940AEA">
      <w:pPr>
        <w:pStyle w:val="FootnoteText"/>
        <w:jc w:val="both"/>
      </w:pPr>
      <w:r w:rsidRPr="003E4462">
        <w:t>(</w:t>
      </w:r>
      <w:r w:rsidRPr="003E4462">
        <w:footnoteRef/>
      </w:r>
      <w:r w:rsidRPr="003E4462">
        <w:t xml:space="preserve">) </w:t>
      </w:r>
      <w:r w:rsidRPr="003E4462">
        <w:rPr>
          <w:lang w:val="nl-NL"/>
        </w:rPr>
        <w:t>Kế hoạch số 05/KH-ĐGS ngày 19/4/2022 của Đoàn giám sát về giám sát tình hình triển khai thực hiện Nghị quyết số 67/2019/NQ-HĐND</w:t>
      </w:r>
    </w:p>
  </w:footnote>
  <w:footnote w:id="3">
    <w:p w:rsidR="00940AEA" w:rsidRPr="003E4462" w:rsidRDefault="00940AEA" w:rsidP="00940AEA">
      <w:pPr>
        <w:pStyle w:val="FootnoteText"/>
        <w:jc w:val="both"/>
      </w:pPr>
      <w:r w:rsidRPr="003E4462">
        <w:t>(</w:t>
      </w:r>
      <w:r w:rsidRPr="003E4462">
        <w:footnoteRef/>
      </w:r>
      <w:r w:rsidRPr="003E4462">
        <w:t>) 4 huyện, thành phố: Huyện Ngọc Hồi, Huyện Đăk Hà, Huyện Sa Thầy, Thành phố Kon Tum</w:t>
      </w:r>
    </w:p>
  </w:footnote>
  <w:footnote w:id="4">
    <w:p w:rsidR="00C00FAE" w:rsidRPr="003E4462" w:rsidRDefault="00A64CC7" w:rsidP="00A64CC7">
      <w:pPr>
        <w:pStyle w:val="FootnoteText"/>
        <w:jc w:val="both"/>
      </w:pPr>
      <w:r w:rsidRPr="003E4462">
        <w:t>(</w:t>
      </w:r>
      <w:r w:rsidRPr="003E4462">
        <w:footnoteRef/>
      </w:r>
      <w:r w:rsidRPr="003E4462">
        <w:t>)</w:t>
      </w:r>
      <w:r w:rsidR="00B0409E" w:rsidRPr="003E4462">
        <w:t xml:space="preserve"> </w:t>
      </w:r>
      <w:r w:rsidR="00940AEA" w:rsidRPr="003E4462">
        <w:t>22 đơn vị cấp xã gồm:</w:t>
      </w:r>
      <w:r w:rsidRPr="003E4462">
        <w:t xml:space="preserve"> </w:t>
      </w:r>
      <w:r w:rsidR="00310519" w:rsidRPr="003E4462">
        <w:t>H</w:t>
      </w:r>
      <w:r w:rsidRPr="003E4462">
        <w:t xml:space="preserve">uyện </w:t>
      </w:r>
      <w:r w:rsidR="00702DDE" w:rsidRPr="003E4462">
        <w:t>Ngọc Hồi</w:t>
      </w:r>
      <w:r w:rsidRPr="003E4462">
        <w:t xml:space="preserve"> </w:t>
      </w:r>
      <w:r w:rsidR="00B0409E" w:rsidRPr="003E4462">
        <w:t>và</w:t>
      </w:r>
      <w:r w:rsidR="00702DDE" w:rsidRPr="003E4462">
        <w:t xml:space="preserve"> </w:t>
      </w:r>
      <w:r w:rsidR="00310519" w:rsidRPr="003E4462">
        <w:t>xã Đăk Xú, Pờ Y, Đăk Kan, Sa Loong, Đăk Ang, thị trấn Plei Kần</w:t>
      </w:r>
      <w:r w:rsidR="00B0409E" w:rsidRPr="003E4462">
        <w:t>;</w:t>
      </w:r>
      <w:r w:rsidR="00310519" w:rsidRPr="003E4462">
        <w:t xml:space="preserve"> Huyện Đăk Hà và xã Đăk Ngọc, Ngọc Wang, Đăk Pxi, Ngọc Réo, Hà Mòn, thị trấn Đăk Hà; Huyện Sa Thầy và xã Rờ Kơi, Sa Nghĩa, Sa Nhơn, Sa Sơn, thị trấn Sa Thầy; Thành phố Kon Tum và Phường Quang trung, Nguyễn Trãi, Quyết Thắng, Thắng Lợi, xã Iachim, xã Đoàn Kết, xã Hòa Bình.</w:t>
      </w:r>
    </w:p>
  </w:footnote>
  <w:footnote w:id="5">
    <w:p w:rsidR="003E4462" w:rsidRPr="003E4462" w:rsidRDefault="003E4462" w:rsidP="003E4462">
      <w:pPr>
        <w:pStyle w:val="FootnoteText"/>
        <w:jc w:val="both"/>
      </w:pPr>
      <w:r w:rsidRPr="003E4462">
        <w:t>(</w:t>
      </w:r>
      <w:r w:rsidRPr="003E4462">
        <w:footnoteRef/>
      </w:r>
      <w:r w:rsidRPr="003E4462">
        <w:t xml:space="preserve">) </w:t>
      </w:r>
      <w:r w:rsidRPr="003E4462">
        <w:rPr>
          <w:lang w:val="vi-VN"/>
        </w:rPr>
        <w:t>Quyết định số 05/2020/QĐ</w:t>
      </w:r>
      <w:r w:rsidRPr="003E4462">
        <w:t>-</w:t>
      </w:r>
      <w:r w:rsidRPr="003E4462">
        <w:rPr>
          <w:lang w:val="vi-VN"/>
        </w:rPr>
        <w:t xml:space="preserve">UBND </w:t>
      </w:r>
      <w:r w:rsidRPr="003E4462">
        <w:t xml:space="preserve">ngày 10 tháng 02 năm 2020 </w:t>
      </w:r>
      <w:r w:rsidRPr="003E4462">
        <w:rPr>
          <w:lang w:val="vi-VN"/>
        </w:rPr>
        <w:t xml:space="preserve">về phê duyệt Đề án cho vay tiêu dùng từ nguồn vốn ngân sách địa phương ủy thác sang Ngân hàng Chính sách xã hội, góp phần ngăn chặn, đẩy lùi hoạt động “tín dụng đen” trên địa bàn tỉnh Kon Tum. </w:t>
      </w:r>
    </w:p>
  </w:footnote>
  <w:footnote w:id="6">
    <w:p w:rsidR="00251B9E" w:rsidRPr="00126B72" w:rsidRDefault="00251B9E" w:rsidP="00251B9E">
      <w:pPr>
        <w:pStyle w:val="FootnoteText"/>
        <w:jc w:val="both"/>
        <w:rPr>
          <w:color w:val="000000"/>
          <w:sz w:val="18"/>
          <w:szCs w:val="18"/>
          <w:shd w:val="clear" w:color="auto" w:fill="FFFFFF"/>
        </w:rPr>
      </w:pPr>
      <w:r>
        <w:rPr>
          <w:rStyle w:val="FootnoteReference"/>
        </w:rPr>
        <w:footnoteRef/>
      </w:r>
      <w:r>
        <w:t xml:space="preserve"> </w:t>
      </w:r>
      <w:r w:rsidRPr="00126B72">
        <w:t xml:space="preserve">Thông tư </w:t>
      </w:r>
      <w:r w:rsidRPr="00126B72">
        <w:rPr>
          <w:color w:val="000000"/>
          <w:sz w:val="18"/>
          <w:szCs w:val="18"/>
          <w:shd w:val="clear" w:color="auto" w:fill="FFFFFF"/>
        </w:rPr>
        <w:t xml:space="preserve">Số: 02/2016/TT-BLĐTBXH </w:t>
      </w:r>
      <w:r w:rsidRPr="00126B72">
        <w:rPr>
          <w:iCs/>
          <w:color w:val="000000"/>
          <w:sz w:val="18"/>
          <w:szCs w:val="18"/>
          <w:shd w:val="clear" w:color="auto" w:fill="FFFFFF"/>
        </w:rPr>
        <w:t xml:space="preserve">ngày 25 tháng 03 năm 2016 của Bộ Lao động, Thương binh và Xã hội </w:t>
      </w:r>
      <w:bookmarkStart w:id="4" w:name="loai_1_name"/>
      <w:r w:rsidRPr="00126B72">
        <w:rPr>
          <w:iCs/>
          <w:color w:val="000000"/>
          <w:sz w:val="18"/>
          <w:szCs w:val="18"/>
          <w:shd w:val="clear" w:color="auto" w:fill="FFFFFF"/>
        </w:rPr>
        <w:t>“H</w:t>
      </w:r>
      <w:r w:rsidRPr="00126B72">
        <w:rPr>
          <w:color w:val="000000"/>
          <w:sz w:val="18"/>
          <w:szCs w:val="18"/>
          <w:shd w:val="clear" w:color="auto" w:fill="FFFFFF"/>
        </w:rPr>
        <w:t>ướng dẫn quy trình xác định hộ gia đình làm nông nghiệp, lâm nghiệp, ngư nghiệp và diêm nghiệp có mức sống trung bình giai đoạn 2016-2020</w:t>
      </w:r>
      <w:bookmarkEnd w:id="4"/>
      <w:r w:rsidRPr="00126B72">
        <w:rPr>
          <w:color w:val="000000"/>
          <w:sz w:val="18"/>
          <w:szCs w:val="18"/>
          <w:shd w:val="clear" w:color="auto" w:fill="FFFFFF"/>
        </w:rPr>
        <w:t>”;</w:t>
      </w:r>
    </w:p>
    <w:p w:rsidR="00251B9E" w:rsidRPr="00126B72" w:rsidRDefault="00251B9E" w:rsidP="00251B9E">
      <w:pPr>
        <w:pStyle w:val="FootnoteText"/>
        <w:jc w:val="both"/>
        <w:rPr>
          <w:i/>
          <w:iCs/>
          <w:color w:val="000000"/>
          <w:sz w:val="18"/>
          <w:szCs w:val="18"/>
          <w:shd w:val="clear" w:color="auto" w:fill="FFFFFF"/>
        </w:rPr>
      </w:pPr>
      <w:r w:rsidRPr="00126B72">
        <w:rPr>
          <w:color w:val="000000"/>
          <w:sz w:val="18"/>
          <w:szCs w:val="18"/>
          <w:shd w:val="clear" w:color="auto" w:fill="FFFFFF"/>
        </w:rPr>
        <w:t>- Quyết định số 14/2021/QĐ-TTg ngày  16 tháng 7 năm 2021 của Thủ tướng Chính phủ “Quy định quy trình rà soát hộ nghèo, hộ cận nghèo hàng năm và quy trình xác định hộ làm nông nghiệp, lâm nghiệp, ngư nghiệp và diêm nghiệp có mức sống truing bình giai đoạn 2022-2025”.</w:t>
      </w:r>
    </w:p>
    <w:p w:rsidR="00251B9E" w:rsidRPr="006E381A" w:rsidRDefault="00251B9E" w:rsidP="00251B9E">
      <w:pPr>
        <w:pStyle w:val="FootnoteText"/>
      </w:pPr>
    </w:p>
  </w:footnote>
  <w:footnote w:id="7">
    <w:p w:rsidR="009C5324" w:rsidRPr="009C5324" w:rsidRDefault="009C5324" w:rsidP="009C5324">
      <w:pPr>
        <w:pStyle w:val="FootnoteText"/>
        <w:jc w:val="both"/>
      </w:pPr>
      <w:r w:rsidRPr="009C5324">
        <w:t>(</w:t>
      </w:r>
      <w:r w:rsidRPr="009C5324">
        <w:footnoteRef/>
      </w:r>
      <w:r w:rsidRPr="009C5324">
        <w:t xml:space="preserve">) </w:t>
      </w:r>
      <w:r w:rsidRPr="009C5324">
        <w:rPr>
          <w:lang w:val="de-DE"/>
        </w:rPr>
        <w:t xml:space="preserve">Vay buôn bán nhỏ: chỉ giải ngân được cho 05 hộ với số tiền cho vay là 150 triệu đồng (Đăkglei: 01 hộ; TP Kon Tum: 04 hộ). Đến thời điểm giám sát còn 04 hộ dư nợ (TP Kon Tum). </w:t>
      </w:r>
    </w:p>
    <w:p w:rsidR="009C5324" w:rsidRPr="003E4462" w:rsidRDefault="009C5324" w:rsidP="009C5324">
      <w:pPr>
        <w:pStyle w:val="FootnoteText"/>
        <w:jc w:val="both"/>
      </w:pPr>
    </w:p>
  </w:footnote>
  <w:footnote w:id="8">
    <w:p w:rsidR="00D93E6F" w:rsidRPr="00D93E6F" w:rsidRDefault="00D93E6F" w:rsidP="00D93E6F">
      <w:pPr>
        <w:pStyle w:val="FootnoteText"/>
        <w:jc w:val="both"/>
      </w:pPr>
      <w:r w:rsidRPr="00D93E6F">
        <w:t>(</w:t>
      </w:r>
      <w:r w:rsidRPr="00D93E6F">
        <w:footnoteRef/>
      </w:r>
      <w:r w:rsidRPr="00D93E6F">
        <w:t xml:space="preserve">) Thông tư số 17/2016/TT-BLĐTBXH “Hướng dẫn quy trình </w:t>
      </w:r>
      <w:r w:rsidRPr="00D93E6F">
        <w:rPr>
          <w:iCs/>
          <w:color w:val="000000"/>
          <w:shd w:val="clear" w:color="auto" w:fill="FFFFFF"/>
          <w:lang w:val="vi-VN"/>
        </w:rPr>
        <w:t>rà soát hộ nghèo, hộ cận nghèo hằng năm theo chuẩn nghèo tiếp cận đa chiều áp dụng cho giai đoạn 2016-2020</w:t>
      </w:r>
      <w:r w:rsidRPr="00D93E6F">
        <w:t>”; Thông tư 14/2018/TT-BLĐTBXH Bộ Lao động, Thương binh và Xã hội sửa đổi, bổ sung một số điều của Thông tư 17/2016/TT-BLĐTBXH</w:t>
      </w:r>
      <w:r w:rsidR="004E7734">
        <w:t>; Quyết định 24/2021/QĐ-TTG của Thủ tướng Chính phủ "Q</w:t>
      </w:r>
      <w:r w:rsidR="004E7734" w:rsidRPr="004E7734">
        <w:rPr>
          <w:iCs/>
          <w:color w:val="000000"/>
          <w:shd w:val="clear" w:color="auto" w:fill="FFFFFF"/>
          <w:lang w:val="vi-VN"/>
        </w:rPr>
        <w:t>uy định quy </w:t>
      </w:r>
      <w:r w:rsidR="004E7734" w:rsidRPr="004E7734">
        <w:rPr>
          <w:iCs/>
          <w:color w:val="000000"/>
          <w:shd w:val="clear" w:color="auto" w:fill="FFFFFF"/>
        </w:rPr>
        <w:t>trình </w:t>
      </w:r>
      <w:r w:rsidR="004E7734" w:rsidRPr="004E7734">
        <w:rPr>
          <w:iCs/>
          <w:color w:val="000000"/>
          <w:shd w:val="clear" w:color="auto" w:fill="FFFFFF"/>
          <w:lang w:val="vi-VN"/>
        </w:rPr>
        <w:t>rà soát hộ nghèo, hộ cận nghèo hằng năm và quy trình xác định </w:t>
      </w:r>
      <w:r w:rsidR="004E7734" w:rsidRPr="004E7734">
        <w:rPr>
          <w:iCs/>
          <w:color w:val="000000"/>
          <w:shd w:val="clear" w:color="auto" w:fill="FFFFFF"/>
        </w:rPr>
        <w:t>hộ làm nông nghiệp, </w:t>
      </w:r>
      <w:r w:rsidR="004E7734" w:rsidRPr="004E7734">
        <w:rPr>
          <w:iCs/>
          <w:color w:val="000000"/>
          <w:shd w:val="clear" w:color="auto" w:fill="FFFFFF"/>
          <w:lang w:val="vi-VN"/>
        </w:rPr>
        <w:t>lâm nghiệp, ngư nghiệp và diêm nghiệp có mức </w:t>
      </w:r>
      <w:r w:rsidR="004E7734" w:rsidRPr="004E7734">
        <w:rPr>
          <w:iCs/>
          <w:color w:val="000000"/>
          <w:shd w:val="clear" w:color="auto" w:fill="FFFFFF"/>
        </w:rPr>
        <w:t>sống</w:t>
      </w:r>
      <w:r w:rsidR="004E7734" w:rsidRPr="004E7734">
        <w:rPr>
          <w:iCs/>
          <w:color w:val="000000"/>
          <w:shd w:val="clear" w:color="auto" w:fill="FFFFFF"/>
          <w:lang w:val="vi-VN"/>
        </w:rPr>
        <w:t> trung </w:t>
      </w:r>
      <w:r w:rsidR="004E7734" w:rsidRPr="004E7734">
        <w:rPr>
          <w:iCs/>
          <w:color w:val="000000"/>
          <w:shd w:val="clear" w:color="auto" w:fill="FFFFFF"/>
        </w:rPr>
        <w:t>bình giai đoạn </w:t>
      </w:r>
      <w:r w:rsidR="004E7734" w:rsidRPr="004E7734">
        <w:rPr>
          <w:iCs/>
          <w:color w:val="000000"/>
          <w:shd w:val="clear" w:color="auto" w:fill="FFFFFF"/>
          <w:lang w:val="vi-VN"/>
        </w:rPr>
        <w:t>2022 - 2025</w:t>
      </w:r>
      <w:r w:rsidRPr="00D93E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7A" w:rsidRDefault="00AB557A">
    <w:pPr>
      <w:pStyle w:val="Header"/>
      <w:jc w:val="center"/>
    </w:pPr>
    <w:r>
      <w:fldChar w:fldCharType="begin"/>
    </w:r>
    <w:r>
      <w:instrText xml:space="preserve"> PAGE   \* MERGEFORMAT </w:instrText>
    </w:r>
    <w:r>
      <w:fldChar w:fldCharType="separate"/>
    </w:r>
    <w:r w:rsidR="00CC5619">
      <w:rPr>
        <w:noProof/>
      </w:rPr>
      <w:t>7</w:t>
    </w:r>
    <w:r>
      <w:rPr>
        <w:noProof/>
      </w:rPr>
      <w:fldChar w:fldCharType="end"/>
    </w:r>
  </w:p>
  <w:p w:rsidR="00AB557A" w:rsidRDefault="00AB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1B"/>
    <w:multiLevelType w:val="hybridMultilevel"/>
    <w:tmpl w:val="07EE6E6C"/>
    <w:lvl w:ilvl="0" w:tplc="D9FA0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5672A25"/>
    <w:multiLevelType w:val="hybridMultilevel"/>
    <w:tmpl w:val="49ACCFEC"/>
    <w:lvl w:ilvl="0" w:tplc="74964228">
      <w:start w:val="1"/>
      <w:numFmt w:val="decimal"/>
      <w:lvlText w:val="%1."/>
      <w:lvlJc w:val="left"/>
      <w:pPr>
        <w:ind w:left="1069" w:hanging="360"/>
      </w:pPr>
      <w:rPr>
        <w:rFonts w:eastAsia=".VnTime"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0E"/>
    <w:rsid w:val="000002BF"/>
    <w:rsid w:val="00010BE6"/>
    <w:rsid w:val="00016EEE"/>
    <w:rsid w:val="0002200F"/>
    <w:rsid w:val="00027AF1"/>
    <w:rsid w:val="000306B6"/>
    <w:rsid w:val="000413A9"/>
    <w:rsid w:val="00044266"/>
    <w:rsid w:val="00053828"/>
    <w:rsid w:val="000549F8"/>
    <w:rsid w:val="000653A2"/>
    <w:rsid w:val="0006715B"/>
    <w:rsid w:val="00067626"/>
    <w:rsid w:val="0007054D"/>
    <w:rsid w:val="000966C6"/>
    <w:rsid w:val="000A430A"/>
    <w:rsid w:val="000B056E"/>
    <w:rsid w:val="000B5D22"/>
    <w:rsid w:val="000B796E"/>
    <w:rsid w:val="000C7656"/>
    <w:rsid w:val="000D31ED"/>
    <w:rsid w:val="000E3FEC"/>
    <w:rsid w:val="000E430B"/>
    <w:rsid w:val="000E580B"/>
    <w:rsid w:val="000E754D"/>
    <w:rsid w:val="000F211E"/>
    <w:rsid w:val="00103804"/>
    <w:rsid w:val="001239D6"/>
    <w:rsid w:val="001252E3"/>
    <w:rsid w:val="00130CB7"/>
    <w:rsid w:val="00145098"/>
    <w:rsid w:val="0015709F"/>
    <w:rsid w:val="00162272"/>
    <w:rsid w:val="0017049D"/>
    <w:rsid w:val="00172720"/>
    <w:rsid w:val="00186D4A"/>
    <w:rsid w:val="00187C03"/>
    <w:rsid w:val="00190ED7"/>
    <w:rsid w:val="00192F35"/>
    <w:rsid w:val="00195B02"/>
    <w:rsid w:val="001B1C03"/>
    <w:rsid w:val="001B2B9C"/>
    <w:rsid w:val="001B33FF"/>
    <w:rsid w:val="001C35C3"/>
    <w:rsid w:val="001C4667"/>
    <w:rsid w:val="001C703D"/>
    <w:rsid w:val="001F59BC"/>
    <w:rsid w:val="002007FB"/>
    <w:rsid w:val="002035EB"/>
    <w:rsid w:val="00213BD5"/>
    <w:rsid w:val="002210F8"/>
    <w:rsid w:val="002436B5"/>
    <w:rsid w:val="00251B9E"/>
    <w:rsid w:val="00255937"/>
    <w:rsid w:val="0026169C"/>
    <w:rsid w:val="00267832"/>
    <w:rsid w:val="002716C1"/>
    <w:rsid w:val="00274A89"/>
    <w:rsid w:val="00282616"/>
    <w:rsid w:val="00282FB5"/>
    <w:rsid w:val="002872C8"/>
    <w:rsid w:val="002874EF"/>
    <w:rsid w:val="00294C7F"/>
    <w:rsid w:val="002951B3"/>
    <w:rsid w:val="0029682B"/>
    <w:rsid w:val="002C3B7A"/>
    <w:rsid w:val="002D4BA8"/>
    <w:rsid w:val="002D5323"/>
    <w:rsid w:val="002E70E5"/>
    <w:rsid w:val="00307991"/>
    <w:rsid w:val="003079D4"/>
    <w:rsid w:val="00310519"/>
    <w:rsid w:val="00310EF9"/>
    <w:rsid w:val="0031113E"/>
    <w:rsid w:val="00315D1B"/>
    <w:rsid w:val="00322293"/>
    <w:rsid w:val="00324708"/>
    <w:rsid w:val="003276AD"/>
    <w:rsid w:val="00337B56"/>
    <w:rsid w:val="003447FC"/>
    <w:rsid w:val="00344F4A"/>
    <w:rsid w:val="00346007"/>
    <w:rsid w:val="003615C3"/>
    <w:rsid w:val="0036165F"/>
    <w:rsid w:val="00361FF2"/>
    <w:rsid w:val="003663E3"/>
    <w:rsid w:val="00377A8E"/>
    <w:rsid w:val="00386B2D"/>
    <w:rsid w:val="00390119"/>
    <w:rsid w:val="00394293"/>
    <w:rsid w:val="00395122"/>
    <w:rsid w:val="00395314"/>
    <w:rsid w:val="003956F1"/>
    <w:rsid w:val="003B4A54"/>
    <w:rsid w:val="003B682F"/>
    <w:rsid w:val="003C5EBA"/>
    <w:rsid w:val="003C7285"/>
    <w:rsid w:val="003D2DA4"/>
    <w:rsid w:val="003D3017"/>
    <w:rsid w:val="003D450D"/>
    <w:rsid w:val="003D6AEE"/>
    <w:rsid w:val="003D6ED7"/>
    <w:rsid w:val="003E4462"/>
    <w:rsid w:val="003E6DAD"/>
    <w:rsid w:val="003E7B90"/>
    <w:rsid w:val="003F12B5"/>
    <w:rsid w:val="003F2886"/>
    <w:rsid w:val="003F4402"/>
    <w:rsid w:val="00401968"/>
    <w:rsid w:val="004131B3"/>
    <w:rsid w:val="004165DF"/>
    <w:rsid w:val="0042386C"/>
    <w:rsid w:val="00427439"/>
    <w:rsid w:val="0046060F"/>
    <w:rsid w:val="0046095C"/>
    <w:rsid w:val="00463EE4"/>
    <w:rsid w:val="00466FF4"/>
    <w:rsid w:val="00474292"/>
    <w:rsid w:val="00476249"/>
    <w:rsid w:val="00477DD8"/>
    <w:rsid w:val="00482C35"/>
    <w:rsid w:val="004900EB"/>
    <w:rsid w:val="004B786A"/>
    <w:rsid w:val="004C04E5"/>
    <w:rsid w:val="004C11A9"/>
    <w:rsid w:val="004C492A"/>
    <w:rsid w:val="004C53A3"/>
    <w:rsid w:val="004D75F4"/>
    <w:rsid w:val="004D77DC"/>
    <w:rsid w:val="004E5921"/>
    <w:rsid w:val="004E7734"/>
    <w:rsid w:val="004F63DD"/>
    <w:rsid w:val="004F6C03"/>
    <w:rsid w:val="00507DC6"/>
    <w:rsid w:val="0051111B"/>
    <w:rsid w:val="005121B9"/>
    <w:rsid w:val="0052753B"/>
    <w:rsid w:val="00530150"/>
    <w:rsid w:val="00537EB8"/>
    <w:rsid w:val="0054408F"/>
    <w:rsid w:val="005515FA"/>
    <w:rsid w:val="00560111"/>
    <w:rsid w:val="005649E4"/>
    <w:rsid w:val="005A12D7"/>
    <w:rsid w:val="005B0AA5"/>
    <w:rsid w:val="005B12CA"/>
    <w:rsid w:val="005B2988"/>
    <w:rsid w:val="005B731C"/>
    <w:rsid w:val="005C7B8D"/>
    <w:rsid w:val="005F0564"/>
    <w:rsid w:val="006066DE"/>
    <w:rsid w:val="0061059F"/>
    <w:rsid w:val="00623ADC"/>
    <w:rsid w:val="00626B4E"/>
    <w:rsid w:val="0062749D"/>
    <w:rsid w:val="0062764D"/>
    <w:rsid w:val="00642957"/>
    <w:rsid w:val="006453FC"/>
    <w:rsid w:val="00646569"/>
    <w:rsid w:val="006506E4"/>
    <w:rsid w:val="0066204E"/>
    <w:rsid w:val="006714FA"/>
    <w:rsid w:val="00671DDF"/>
    <w:rsid w:val="006723A5"/>
    <w:rsid w:val="00675DF1"/>
    <w:rsid w:val="0067790D"/>
    <w:rsid w:val="00685EDA"/>
    <w:rsid w:val="00692322"/>
    <w:rsid w:val="0069465D"/>
    <w:rsid w:val="006A375E"/>
    <w:rsid w:val="006B3562"/>
    <w:rsid w:val="006B6803"/>
    <w:rsid w:val="006D1B19"/>
    <w:rsid w:val="006D2266"/>
    <w:rsid w:val="006E29AA"/>
    <w:rsid w:val="006E3FCA"/>
    <w:rsid w:val="006E5FFB"/>
    <w:rsid w:val="006E6282"/>
    <w:rsid w:val="006F4ACF"/>
    <w:rsid w:val="0070260C"/>
    <w:rsid w:val="00702DDE"/>
    <w:rsid w:val="00704F2A"/>
    <w:rsid w:val="00707906"/>
    <w:rsid w:val="00724EE6"/>
    <w:rsid w:val="00734D88"/>
    <w:rsid w:val="00744B48"/>
    <w:rsid w:val="00752B86"/>
    <w:rsid w:val="0076470C"/>
    <w:rsid w:val="00770E3F"/>
    <w:rsid w:val="00775047"/>
    <w:rsid w:val="0078143B"/>
    <w:rsid w:val="0078269B"/>
    <w:rsid w:val="00783FB7"/>
    <w:rsid w:val="00784D62"/>
    <w:rsid w:val="00785D75"/>
    <w:rsid w:val="00787529"/>
    <w:rsid w:val="00796FE6"/>
    <w:rsid w:val="007B3CA1"/>
    <w:rsid w:val="007C68B0"/>
    <w:rsid w:val="007D1E20"/>
    <w:rsid w:val="007D59FA"/>
    <w:rsid w:val="007E0756"/>
    <w:rsid w:val="007F1F91"/>
    <w:rsid w:val="007F2435"/>
    <w:rsid w:val="007F7251"/>
    <w:rsid w:val="00801803"/>
    <w:rsid w:val="0080409E"/>
    <w:rsid w:val="008049C3"/>
    <w:rsid w:val="008056B0"/>
    <w:rsid w:val="008218BA"/>
    <w:rsid w:val="00831CC2"/>
    <w:rsid w:val="0083662B"/>
    <w:rsid w:val="008375B6"/>
    <w:rsid w:val="008658FB"/>
    <w:rsid w:val="00885A60"/>
    <w:rsid w:val="008A0E69"/>
    <w:rsid w:val="008A1AC6"/>
    <w:rsid w:val="008A2F34"/>
    <w:rsid w:val="008B2D69"/>
    <w:rsid w:val="008C30F1"/>
    <w:rsid w:val="008D1933"/>
    <w:rsid w:val="008D65ED"/>
    <w:rsid w:val="00901EF1"/>
    <w:rsid w:val="00905A23"/>
    <w:rsid w:val="00912385"/>
    <w:rsid w:val="00925C87"/>
    <w:rsid w:val="00937147"/>
    <w:rsid w:val="00940AEA"/>
    <w:rsid w:val="00943DF4"/>
    <w:rsid w:val="009443D4"/>
    <w:rsid w:val="00956C39"/>
    <w:rsid w:val="00957990"/>
    <w:rsid w:val="00965A2B"/>
    <w:rsid w:val="00972488"/>
    <w:rsid w:val="00972F7C"/>
    <w:rsid w:val="00982F6C"/>
    <w:rsid w:val="00984766"/>
    <w:rsid w:val="00987D92"/>
    <w:rsid w:val="009B569F"/>
    <w:rsid w:val="009B766A"/>
    <w:rsid w:val="009C20E3"/>
    <w:rsid w:val="009C436F"/>
    <w:rsid w:val="009C5324"/>
    <w:rsid w:val="009D1E9F"/>
    <w:rsid w:val="009D54E0"/>
    <w:rsid w:val="009D6043"/>
    <w:rsid w:val="009E0EA8"/>
    <w:rsid w:val="009E274F"/>
    <w:rsid w:val="009E3147"/>
    <w:rsid w:val="00A01DF1"/>
    <w:rsid w:val="00A04EBE"/>
    <w:rsid w:val="00A05C4A"/>
    <w:rsid w:val="00A076AD"/>
    <w:rsid w:val="00A438F7"/>
    <w:rsid w:val="00A5063E"/>
    <w:rsid w:val="00A511D2"/>
    <w:rsid w:val="00A566A4"/>
    <w:rsid w:val="00A604D4"/>
    <w:rsid w:val="00A64CC7"/>
    <w:rsid w:val="00A83F4C"/>
    <w:rsid w:val="00A9598E"/>
    <w:rsid w:val="00A9783B"/>
    <w:rsid w:val="00AA2FE6"/>
    <w:rsid w:val="00AA303A"/>
    <w:rsid w:val="00AA39B4"/>
    <w:rsid w:val="00AB068B"/>
    <w:rsid w:val="00AB557A"/>
    <w:rsid w:val="00AC0AD8"/>
    <w:rsid w:val="00AC0BC9"/>
    <w:rsid w:val="00AC5CA1"/>
    <w:rsid w:val="00AC7A5A"/>
    <w:rsid w:val="00AD0B89"/>
    <w:rsid w:val="00AD0FBA"/>
    <w:rsid w:val="00AD343F"/>
    <w:rsid w:val="00AD460C"/>
    <w:rsid w:val="00AD47B7"/>
    <w:rsid w:val="00AD6361"/>
    <w:rsid w:val="00AE1039"/>
    <w:rsid w:val="00AF3F19"/>
    <w:rsid w:val="00AF4211"/>
    <w:rsid w:val="00AF53C7"/>
    <w:rsid w:val="00AF74F7"/>
    <w:rsid w:val="00B0409E"/>
    <w:rsid w:val="00B07F61"/>
    <w:rsid w:val="00B11706"/>
    <w:rsid w:val="00B47994"/>
    <w:rsid w:val="00B55F72"/>
    <w:rsid w:val="00B6311D"/>
    <w:rsid w:val="00B63484"/>
    <w:rsid w:val="00B6596A"/>
    <w:rsid w:val="00B77739"/>
    <w:rsid w:val="00B8010C"/>
    <w:rsid w:val="00B85080"/>
    <w:rsid w:val="00BA1D46"/>
    <w:rsid w:val="00BB2182"/>
    <w:rsid w:val="00BB32BA"/>
    <w:rsid w:val="00BB349A"/>
    <w:rsid w:val="00BB3588"/>
    <w:rsid w:val="00BB366C"/>
    <w:rsid w:val="00BD3968"/>
    <w:rsid w:val="00BD56C3"/>
    <w:rsid w:val="00BE6190"/>
    <w:rsid w:val="00BE6878"/>
    <w:rsid w:val="00C00FAE"/>
    <w:rsid w:val="00C01948"/>
    <w:rsid w:val="00C01F71"/>
    <w:rsid w:val="00C24317"/>
    <w:rsid w:val="00C263D4"/>
    <w:rsid w:val="00C27779"/>
    <w:rsid w:val="00C31D0E"/>
    <w:rsid w:val="00C34C10"/>
    <w:rsid w:val="00C419B1"/>
    <w:rsid w:val="00C42551"/>
    <w:rsid w:val="00C43DB7"/>
    <w:rsid w:val="00C4664E"/>
    <w:rsid w:val="00C5015D"/>
    <w:rsid w:val="00C57CAF"/>
    <w:rsid w:val="00C61143"/>
    <w:rsid w:val="00C67255"/>
    <w:rsid w:val="00C70FAF"/>
    <w:rsid w:val="00C71074"/>
    <w:rsid w:val="00C804D8"/>
    <w:rsid w:val="00C860C3"/>
    <w:rsid w:val="00CB0525"/>
    <w:rsid w:val="00CB3246"/>
    <w:rsid w:val="00CB5B19"/>
    <w:rsid w:val="00CB5B36"/>
    <w:rsid w:val="00CC2496"/>
    <w:rsid w:val="00CC39B3"/>
    <w:rsid w:val="00CC5619"/>
    <w:rsid w:val="00CC5E66"/>
    <w:rsid w:val="00CD5F9C"/>
    <w:rsid w:val="00CE1FC7"/>
    <w:rsid w:val="00CE77A2"/>
    <w:rsid w:val="00CF1746"/>
    <w:rsid w:val="00CF50F1"/>
    <w:rsid w:val="00D10ECA"/>
    <w:rsid w:val="00D12BAE"/>
    <w:rsid w:val="00D130CC"/>
    <w:rsid w:val="00D16E87"/>
    <w:rsid w:val="00D20D4F"/>
    <w:rsid w:val="00D3409E"/>
    <w:rsid w:val="00D36530"/>
    <w:rsid w:val="00D45BA0"/>
    <w:rsid w:val="00D46F37"/>
    <w:rsid w:val="00D560ED"/>
    <w:rsid w:val="00D60399"/>
    <w:rsid w:val="00D61908"/>
    <w:rsid w:val="00D83097"/>
    <w:rsid w:val="00D93E6F"/>
    <w:rsid w:val="00D93F6A"/>
    <w:rsid w:val="00DA0A1A"/>
    <w:rsid w:val="00DA2579"/>
    <w:rsid w:val="00DB401D"/>
    <w:rsid w:val="00DC2A3F"/>
    <w:rsid w:val="00DC4D10"/>
    <w:rsid w:val="00DC4FBB"/>
    <w:rsid w:val="00DF3280"/>
    <w:rsid w:val="00E05DD9"/>
    <w:rsid w:val="00E06646"/>
    <w:rsid w:val="00E1220D"/>
    <w:rsid w:val="00E3614D"/>
    <w:rsid w:val="00E37C73"/>
    <w:rsid w:val="00E549FD"/>
    <w:rsid w:val="00E6157E"/>
    <w:rsid w:val="00E63578"/>
    <w:rsid w:val="00E65452"/>
    <w:rsid w:val="00E7709E"/>
    <w:rsid w:val="00E777BA"/>
    <w:rsid w:val="00E8245C"/>
    <w:rsid w:val="00E83303"/>
    <w:rsid w:val="00E911D9"/>
    <w:rsid w:val="00E94F2E"/>
    <w:rsid w:val="00EC1DE8"/>
    <w:rsid w:val="00ED171F"/>
    <w:rsid w:val="00EE356A"/>
    <w:rsid w:val="00EE3ACE"/>
    <w:rsid w:val="00EF537E"/>
    <w:rsid w:val="00F03081"/>
    <w:rsid w:val="00F045C4"/>
    <w:rsid w:val="00F1366A"/>
    <w:rsid w:val="00F16ADA"/>
    <w:rsid w:val="00F20F2A"/>
    <w:rsid w:val="00F21602"/>
    <w:rsid w:val="00F223B1"/>
    <w:rsid w:val="00F257AE"/>
    <w:rsid w:val="00F25C66"/>
    <w:rsid w:val="00F54053"/>
    <w:rsid w:val="00F643CC"/>
    <w:rsid w:val="00F66332"/>
    <w:rsid w:val="00F703B0"/>
    <w:rsid w:val="00F71174"/>
    <w:rsid w:val="00F717E8"/>
    <w:rsid w:val="00F82ECA"/>
    <w:rsid w:val="00F855BD"/>
    <w:rsid w:val="00F90F05"/>
    <w:rsid w:val="00F95C71"/>
    <w:rsid w:val="00F97F29"/>
    <w:rsid w:val="00FA1499"/>
    <w:rsid w:val="00FB0946"/>
    <w:rsid w:val="00FB5F5D"/>
    <w:rsid w:val="00FC67CB"/>
    <w:rsid w:val="00FD1D71"/>
    <w:rsid w:val="00FD6C5B"/>
    <w:rsid w:val="00FE7188"/>
    <w:rsid w:val="00FF38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A64CC7"/>
    <w:pPr>
      <w:keepNext/>
      <w:spacing w:after="0" w:line="240" w:lineRule="auto"/>
      <w:jc w:val="center"/>
      <w:outlineLvl w:val="1"/>
    </w:pPr>
    <w:rPr>
      <w:rFonts w:ascii="Times New Roman" w:eastAsia="Times New Roman" w:hAnsi="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4CC7"/>
    <w:rPr>
      <w:rFonts w:ascii="Times New Roman" w:eastAsia="Times New Roman" w:hAnsi="Times New Roman" w:cs="Times New Roman"/>
      <w:b/>
      <w:sz w:val="28"/>
      <w:szCs w:val="20"/>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ft,f1, Char Char"/>
    <w:basedOn w:val="Normal"/>
    <w:link w:val="FootnoteTextChar"/>
    <w:uiPriority w:val="99"/>
    <w:qFormat/>
    <w:rsid w:val="00A64CC7"/>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link w:val="FootnoteText"/>
    <w:uiPriority w:val="99"/>
    <w:qFormat/>
    <w:rsid w:val="00A64CC7"/>
    <w:rPr>
      <w:rFonts w:ascii="Times New Roman" w:eastAsia="Times New Roman" w:hAnsi="Times New Roman"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qFormat/>
    <w:rsid w:val="00A64CC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A64CC7"/>
    <w:pPr>
      <w:spacing w:after="160" w:line="240" w:lineRule="exact"/>
    </w:pPr>
    <w:rPr>
      <w:vertAlign w:val="superscript"/>
    </w:rPr>
  </w:style>
  <w:style w:type="paragraph" w:styleId="NoSpacing">
    <w:name w:val="No Spacing"/>
    <w:uiPriority w:val="1"/>
    <w:qFormat/>
    <w:rsid w:val="00A64CC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AB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7A"/>
  </w:style>
  <w:style w:type="paragraph" w:styleId="Footer">
    <w:name w:val="footer"/>
    <w:basedOn w:val="Normal"/>
    <w:link w:val="FooterChar"/>
    <w:uiPriority w:val="99"/>
    <w:unhideWhenUsed/>
    <w:rsid w:val="00AB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7A"/>
  </w:style>
  <w:style w:type="paragraph" w:styleId="ListParagraph">
    <w:name w:val="List Paragraph"/>
    <w:basedOn w:val="Normal"/>
    <w:uiPriority w:val="34"/>
    <w:qFormat/>
    <w:rsid w:val="00CF50F1"/>
    <w:pPr>
      <w:ind w:left="720"/>
      <w:contextualSpacing/>
    </w:pPr>
  </w:style>
  <w:style w:type="paragraph" w:styleId="Revision">
    <w:name w:val="Revision"/>
    <w:hidden/>
    <w:uiPriority w:val="99"/>
    <w:semiHidden/>
    <w:rsid w:val="009C20E3"/>
    <w:rPr>
      <w:sz w:val="22"/>
      <w:szCs w:val="22"/>
      <w:lang w:eastAsia="en-US"/>
    </w:rPr>
  </w:style>
  <w:style w:type="paragraph" w:styleId="BalloonText">
    <w:name w:val="Balloon Text"/>
    <w:basedOn w:val="Normal"/>
    <w:link w:val="BalloonTextChar"/>
    <w:uiPriority w:val="99"/>
    <w:semiHidden/>
    <w:unhideWhenUsed/>
    <w:rsid w:val="00EE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A64CC7"/>
    <w:pPr>
      <w:keepNext/>
      <w:spacing w:after="0" w:line="240" w:lineRule="auto"/>
      <w:jc w:val="center"/>
      <w:outlineLvl w:val="1"/>
    </w:pPr>
    <w:rPr>
      <w:rFonts w:ascii="Times New Roman" w:eastAsia="Times New Roman" w:hAnsi="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4CC7"/>
    <w:rPr>
      <w:rFonts w:ascii="Times New Roman" w:eastAsia="Times New Roman" w:hAnsi="Times New Roman" w:cs="Times New Roman"/>
      <w:b/>
      <w:sz w:val="28"/>
      <w:szCs w:val="20"/>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ft,f1, Char Char"/>
    <w:basedOn w:val="Normal"/>
    <w:link w:val="FootnoteTextChar"/>
    <w:uiPriority w:val="99"/>
    <w:qFormat/>
    <w:rsid w:val="00A64CC7"/>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link w:val="FootnoteText"/>
    <w:uiPriority w:val="99"/>
    <w:qFormat/>
    <w:rsid w:val="00A64CC7"/>
    <w:rPr>
      <w:rFonts w:ascii="Times New Roman" w:eastAsia="Times New Roman" w:hAnsi="Times New Roman"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qFormat/>
    <w:rsid w:val="00A64CC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A64CC7"/>
    <w:pPr>
      <w:spacing w:after="160" w:line="240" w:lineRule="exact"/>
    </w:pPr>
    <w:rPr>
      <w:vertAlign w:val="superscript"/>
    </w:rPr>
  </w:style>
  <w:style w:type="paragraph" w:styleId="NoSpacing">
    <w:name w:val="No Spacing"/>
    <w:uiPriority w:val="1"/>
    <w:qFormat/>
    <w:rsid w:val="00A64CC7"/>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AB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7A"/>
  </w:style>
  <w:style w:type="paragraph" w:styleId="Footer">
    <w:name w:val="footer"/>
    <w:basedOn w:val="Normal"/>
    <w:link w:val="FooterChar"/>
    <w:uiPriority w:val="99"/>
    <w:unhideWhenUsed/>
    <w:rsid w:val="00AB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7A"/>
  </w:style>
  <w:style w:type="paragraph" w:styleId="ListParagraph">
    <w:name w:val="List Paragraph"/>
    <w:basedOn w:val="Normal"/>
    <w:uiPriority w:val="34"/>
    <w:qFormat/>
    <w:rsid w:val="00CF50F1"/>
    <w:pPr>
      <w:ind w:left="720"/>
      <w:contextualSpacing/>
    </w:pPr>
  </w:style>
  <w:style w:type="paragraph" w:styleId="Revision">
    <w:name w:val="Revision"/>
    <w:hidden/>
    <w:uiPriority w:val="99"/>
    <w:semiHidden/>
    <w:rsid w:val="009C20E3"/>
    <w:rPr>
      <w:sz w:val="22"/>
      <w:szCs w:val="22"/>
      <w:lang w:eastAsia="en-US"/>
    </w:rPr>
  </w:style>
  <w:style w:type="paragraph" w:styleId="BalloonText">
    <w:name w:val="Balloon Text"/>
    <w:basedOn w:val="Normal"/>
    <w:link w:val="BalloonTextChar"/>
    <w:uiPriority w:val="99"/>
    <w:semiHidden/>
    <w:unhideWhenUsed/>
    <w:rsid w:val="00EE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65571">
      <w:bodyDiv w:val="1"/>
      <w:marLeft w:val="0"/>
      <w:marRight w:val="0"/>
      <w:marTop w:val="0"/>
      <w:marBottom w:val="0"/>
      <w:divBdr>
        <w:top w:val="none" w:sz="0" w:space="0" w:color="auto"/>
        <w:left w:val="none" w:sz="0" w:space="0" w:color="auto"/>
        <w:bottom w:val="none" w:sz="0" w:space="0" w:color="auto"/>
        <w:right w:val="none" w:sz="0" w:space="0" w:color="auto"/>
      </w:divBdr>
    </w:div>
    <w:div w:id="14913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EC1C-DE40-4CEE-B084-90768CD7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FPT</cp:lastModifiedBy>
  <cp:revision>36</cp:revision>
  <cp:lastPrinted>2022-11-08T01:31:00Z</cp:lastPrinted>
  <dcterms:created xsi:type="dcterms:W3CDTF">2022-11-07T08:19:00Z</dcterms:created>
  <dcterms:modified xsi:type="dcterms:W3CDTF">2022-12-05T01:59:00Z</dcterms:modified>
</cp:coreProperties>
</file>