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944"/>
        <w:gridCol w:w="5975"/>
      </w:tblGrid>
      <w:tr w:rsidR="00854844" w:rsidRPr="00854844" w14:paraId="78121F4B" w14:textId="77777777" w:rsidTr="00CB18D9">
        <w:trPr>
          <w:trHeight w:hRule="exact" w:val="907"/>
        </w:trPr>
        <w:tc>
          <w:tcPr>
            <w:tcW w:w="1988" w:type="pct"/>
            <w:shd w:val="clear" w:color="auto" w:fill="auto"/>
          </w:tcPr>
          <w:p w14:paraId="78121F47" w14:textId="77777777" w:rsidR="007C037B" w:rsidRPr="00854844" w:rsidRDefault="007C037B" w:rsidP="008E5C8D">
            <w:pPr>
              <w:jc w:val="center"/>
              <w:rPr>
                <w:sz w:val="26"/>
                <w:szCs w:val="28"/>
              </w:rPr>
            </w:pPr>
            <w:r w:rsidRPr="00854844">
              <w:rPr>
                <w:sz w:val="26"/>
                <w:szCs w:val="28"/>
              </w:rPr>
              <w:t>HĐND TỈNH KON TUM</w:t>
            </w:r>
          </w:p>
          <w:p w14:paraId="78121F48" w14:textId="77777777" w:rsidR="007C037B" w:rsidRPr="00854844" w:rsidRDefault="00942FC4" w:rsidP="008E5C8D">
            <w:pPr>
              <w:jc w:val="center"/>
              <w:rPr>
                <w:b/>
                <w:sz w:val="26"/>
                <w:szCs w:val="28"/>
              </w:rPr>
            </w:pPr>
            <w:r w:rsidRPr="00854844">
              <w:rPr>
                <w:sz w:val="26"/>
                <w:szCs w:val="28"/>
                <w:lang w:eastAsia="vi-VN"/>
              </w:rPr>
              <mc:AlternateContent>
                <mc:Choice Requires="wps">
                  <w:drawing>
                    <wp:anchor distT="0" distB="0" distL="114300" distR="114300" simplePos="0" relativeHeight="251656704" behindDoc="0" locked="0" layoutInCell="1" allowOverlap="1" wp14:anchorId="78121F7F" wp14:editId="78121F80">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DEF8C"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">
                      <w10:wrap anchorx="margin"/>
                    </v:line>
                  </w:pict>
                </mc:Fallback>
              </mc:AlternateContent>
            </w:r>
            <w:r w:rsidR="007C037B" w:rsidRPr="00854844">
              <w:rPr>
                <w:b/>
                <w:sz w:val="26"/>
                <w:szCs w:val="28"/>
              </w:rPr>
              <w:t>BAN KINH TẾ - NGÂN SÁCH</w:t>
            </w:r>
          </w:p>
        </w:tc>
        <w:tc>
          <w:tcPr>
            <w:tcW w:w="3012" w:type="pct"/>
            <w:shd w:val="clear" w:color="auto" w:fill="auto"/>
          </w:tcPr>
          <w:p w14:paraId="78121F49" w14:textId="77777777" w:rsidR="007C037B" w:rsidRPr="00854844" w:rsidRDefault="007C037B" w:rsidP="008E5C8D">
            <w:pPr>
              <w:jc w:val="center"/>
              <w:rPr>
                <w:b/>
                <w:sz w:val="26"/>
                <w:szCs w:val="28"/>
              </w:rPr>
            </w:pPr>
            <w:r w:rsidRPr="00854844">
              <w:rPr>
                <w:b/>
                <w:sz w:val="26"/>
                <w:szCs w:val="28"/>
              </w:rPr>
              <w:t>CỘNG HÒA XÃ HỘI CHỦ NGHĨA VIỆT NAM</w:t>
            </w:r>
          </w:p>
          <w:p w14:paraId="78121F4A" w14:textId="77777777" w:rsidR="007C037B" w:rsidRPr="00854844" w:rsidRDefault="00942FC4" w:rsidP="008E5C8D">
            <w:pPr>
              <w:jc w:val="center"/>
              <w:rPr>
                <w:b/>
                <w:sz w:val="26"/>
                <w:szCs w:val="28"/>
              </w:rPr>
            </w:pPr>
            <w:r w:rsidRPr="00854844">
              <w:rPr>
                <w:szCs w:val="28"/>
                <w:lang w:eastAsia="vi-VN"/>
              </w:rPr>
              <mc:AlternateContent>
                <mc:Choice Requires="wps">
                  <w:drawing>
                    <wp:anchor distT="0" distB="0" distL="114300" distR="114300" simplePos="0" relativeHeight="251657728" behindDoc="0" locked="0" layoutInCell="1" allowOverlap="1" wp14:anchorId="78121F81" wp14:editId="78121F82">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6FA66"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">
                      <w10:wrap anchorx="margin"/>
                    </v:line>
                  </w:pict>
                </mc:Fallback>
              </mc:AlternateContent>
            </w:r>
            <w:r w:rsidR="007C037B" w:rsidRPr="00854844">
              <w:rPr>
                <w:b/>
                <w:szCs w:val="28"/>
              </w:rPr>
              <w:t>Độc lập - Tự do - Hạnh phúc</w:t>
            </w:r>
          </w:p>
        </w:tc>
      </w:tr>
      <w:tr w:rsidR="00854844" w:rsidRPr="00854844" w14:paraId="78121F51" w14:textId="77777777" w:rsidTr="00CB18D9">
        <w:trPr>
          <w:trHeight w:hRule="exact" w:val="518"/>
        </w:trPr>
        <w:tc>
          <w:tcPr>
            <w:tcW w:w="1988" w:type="pct"/>
            <w:shd w:val="clear" w:color="auto" w:fill="auto"/>
          </w:tcPr>
          <w:p w14:paraId="78121F4C" w14:textId="40E076FB" w:rsidR="007C037B" w:rsidRPr="00854844" w:rsidRDefault="007C037B" w:rsidP="008E5C8D">
            <w:pPr>
              <w:jc w:val="center"/>
              <w:rPr>
                <w:szCs w:val="28"/>
              </w:rPr>
            </w:pPr>
            <w:r w:rsidRPr="00854844">
              <w:rPr>
                <w:szCs w:val="28"/>
              </w:rPr>
              <w:t xml:space="preserve">Số:  </w:t>
            </w:r>
            <w:r w:rsidR="009D5C54">
              <w:rPr>
                <w:szCs w:val="28"/>
                <w:lang w:val="en-US"/>
              </w:rPr>
              <w:t>98</w:t>
            </w:r>
            <w:r w:rsidRPr="00854844">
              <w:rPr>
                <w:szCs w:val="28"/>
              </w:rPr>
              <w:t xml:space="preserve"> /BC-BKTNS</w:t>
            </w:r>
          </w:p>
          <w:p w14:paraId="78121F4D" w14:textId="302B82FD" w:rsidR="007C037B" w:rsidRPr="00854844" w:rsidRDefault="007C037B" w:rsidP="008E5C8D">
            <w:pPr>
              <w:ind w:firstLine="709"/>
              <w:jc w:val="both"/>
              <w:rPr>
                <w:szCs w:val="28"/>
              </w:rPr>
            </w:pPr>
          </w:p>
          <w:p w14:paraId="78121F4E" w14:textId="77777777" w:rsidR="007C037B" w:rsidRPr="00854844" w:rsidRDefault="007C037B" w:rsidP="008E5C8D">
            <w:pPr>
              <w:ind w:firstLine="709"/>
              <w:jc w:val="both"/>
              <w:rPr>
                <w:szCs w:val="28"/>
              </w:rPr>
            </w:pPr>
          </w:p>
          <w:p w14:paraId="78121F4F" w14:textId="77777777" w:rsidR="007C037B" w:rsidRPr="00854844" w:rsidRDefault="007C037B" w:rsidP="008E5C8D">
            <w:pPr>
              <w:ind w:firstLine="709"/>
              <w:jc w:val="both"/>
              <w:rPr>
                <w:szCs w:val="28"/>
              </w:rPr>
            </w:pPr>
          </w:p>
        </w:tc>
        <w:tc>
          <w:tcPr>
            <w:tcW w:w="3012" w:type="pct"/>
            <w:shd w:val="clear" w:color="auto" w:fill="auto"/>
          </w:tcPr>
          <w:p w14:paraId="78121F50" w14:textId="2B35BAC0" w:rsidR="007C037B" w:rsidRPr="00854844" w:rsidRDefault="007C037B" w:rsidP="009D5C54">
            <w:pPr>
              <w:ind w:firstLine="709"/>
              <w:jc w:val="both"/>
              <w:rPr>
                <w:i/>
                <w:szCs w:val="28"/>
              </w:rPr>
            </w:pPr>
            <w:r w:rsidRPr="00854844">
              <w:rPr>
                <w:i/>
                <w:szCs w:val="28"/>
              </w:rPr>
              <w:t xml:space="preserve">Kon Tum, ngày  </w:t>
            </w:r>
            <w:r w:rsidR="009D5C54">
              <w:rPr>
                <w:i/>
                <w:szCs w:val="28"/>
                <w:lang w:val="en-US"/>
              </w:rPr>
              <w:t>22</w:t>
            </w:r>
            <w:r w:rsidRPr="00854844">
              <w:rPr>
                <w:i/>
                <w:szCs w:val="28"/>
              </w:rPr>
              <w:t xml:space="preserve"> tháng </w:t>
            </w:r>
            <w:r w:rsidR="009D5C54">
              <w:rPr>
                <w:i/>
                <w:szCs w:val="28"/>
                <w:lang w:val="en-US"/>
              </w:rPr>
              <w:t>10</w:t>
            </w:r>
            <w:r w:rsidRPr="00854844">
              <w:rPr>
                <w:i/>
                <w:szCs w:val="28"/>
              </w:rPr>
              <w:t xml:space="preserve"> năm </w:t>
            </w:r>
            <w:r w:rsidR="009D5C54">
              <w:rPr>
                <w:i/>
                <w:szCs w:val="28"/>
                <w:lang w:val="en-US"/>
              </w:rPr>
              <w:t>2020</w:t>
            </w:r>
            <w:r w:rsidRPr="00854844">
              <w:rPr>
                <w:i/>
                <w:szCs w:val="28"/>
              </w:rPr>
              <w:t xml:space="preserve">   </w:t>
            </w:r>
          </w:p>
        </w:tc>
      </w:tr>
    </w:tbl>
    <w:p w14:paraId="78121F52" w14:textId="77777777" w:rsidR="00CB18D9" w:rsidRPr="00854844" w:rsidRDefault="00CB18D9" w:rsidP="007C037B">
      <w:pPr>
        <w:tabs>
          <w:tab w:val="center" w:pos="1800"/>
          <w:tab w:val="center" w:pos="6120"/>
        </w:tabs>
        <w:jc w:val="center"/>
        <w:rPr>
          <w:b/>
          <w:lang w:val="en-US"/>
        </w:rPr>
      </w:pPr>
    </w:p>
    <w:p w14:paraId="78121F53" w14:textId="77777777" w:rsidR="007C037B" w:rsidRPr="00854844" w:rsidRDefault="007C037B" w:rsidP="007C037B">
      <w:pPr>
        <w:tabs>
          <w:tab w:val="center" w:pos="1800"/>
          <w:tab w:val="center" w:pos="6120"/>
        </w:tabs>
        <w:jc w:val="center"/>
        <w:rPr>
          <w:b/>
        </w:rPr>
      </w:pPr>
      <w:r w:rsidRPr="00854844">
        <w:rPr>
          <w:b/>
        </w:rPr>
        <w:t>BÁO CÁO THẨM TRA</w:t>
      </w:r>
    </w:p>
    <w:p w14:paraId="78121F54" w14:textId="1B4857E8" w:rsidR="007C037B" w:rsidRPr="00CA4335" w:rsidRDefault="007C037B" w:rsidP="00F86784">
      <w:pPr>
        <w:jc w:val="center"/>
        <w:rPr>
          <w:rFonts w:ascii="Times New Roman Bold" w:hAnsi="Times New Roman Bold"/>
          <w:b/>
          <w:spacing w:val="-2"/>
        </w:rPr>
      </w:pPr>
      <w:r w:rsidRPr="00CA4335">
        <w:rPr>
          <w:rFonts w:ascii="Times New Roman Bold" w:hAnsi="Times New Roman Bold"/>
          <w:b/>
          <w:spacing w:val="-2"/>
        </w:rPr>
        <w:t xml:space="preserve">Dự thảo </w:t>
      </w:r>
      <w:r w:rsidR="00F86784" w:rsidRPr="00CA4335">
        <w:rPr>
          <w:rFonts w:ascii="Times New Roman Bold" w:hAnsi="Times New Roman Bold"/>
          <w:b/>
          <w:spacing w:val="-2"/>
          <w:lang w:val="en-US"/>
        </w:rPr>
        <w:t xml:space="preserve">nghị quyết </w:t>
      </w:r>
      <w:r w:rsidR="00E03D69" w:rsidRPr="00CA4335">
        <w:rPr>
          <w:rFonts w:ascii="Times New Roman Bold" w:hAnsi="Times New Roman Bold"/>
          <w:b/>
          <w:spacing w:val="-2"/>
          <w:lang w:val="de-DE"/>
        </w:rPr>
        <w:t xml:space="preserve">Sửa đổi, bổ sung Điều 1 Nghị quyết số 29/2020/NQ-HĐND ngày 13 tháng 7 năm 2020 của Hội đồng nhân dân tỉnh sửa đổi, bổ sung Điều 1 Nghị quyết số 45/2019/NQ-HĐND ngày 09 tháng 12 năm 2019 về </w:t>
      </w:r>
      <w:r w:rsidR="00666878" w:rsidRPr="00CA4335">
        <w:rPr>
          <w:rFonts w:ascii="Times New Roman Bold" w:hAnsi="Times New Roman Bold"/>
          <w:b/>
          <w:spacing w:val="-2"/>
          <w:lang w:val="de-DE"/>
        </w:rPr>
        <w:t>s</w:t>
      </w:r>
      <w:r w:rsidR="00E03D69" w:rsidRPr="00CA4335">
        <w:rPr>
          <w:rFonts w:ascii="Times New Roman Bold" w:hAnsi="Times New Roman Bold"/>
          <w:b/>
          <w:spacing w:val="-2"/>
          <w:lang w:val="de-DE"/>
        </w:rPr>
        <w:t>ửa đổi, bổ sung một số điều của các Nghị quyết của Hội đồng nhân dân tỉnh về Kế hoạch đầu tư công trung hạn giai đoạn 2016 - 2020 tỉnh Kon Tum</w:t>
      </w:r>
    </w:p>
    <w:p w14:paraId="78121F55" w14:textId="77777777" w:rsidR="007C037B" w:rsidRPr="00854844" w:rsidRDefault="00942FC4" w:rsidP="007C037B">
      <w:pPr>
        <w:jc w:val="center"/>
        <w:rPr>
          <w:b/>
          <w:u w:val="single"/>
          <w:vertAlign w:val="subscript"/>
        </w:rPr>
      </w:pPr>
      <w:r w:rsidRPr="00854844">
        <w:rPr>
          <w:lang w:eastAsia="vi-VN"/>
        </w:rPr>
        <mc:AlternateContent>
          <mc:Choice Requires="wps">
            <w:drawing>
              <wp:anchor distT="0" distB="0" distL="114300" distR="114300" simplePos="0" relativeHeight="251658752" behindDoc="0" locked="0" layoutInCell="1" allowOverlap="1" wp14:anchorId="78121F85" wp14:editId="78121F86">
                <wp:simplePos x="0" y="0"/>
                <wp:positionH relativeFrom="margin">
                  <wp:align>center</wp:align>
                </wp:positionH>
                <wp:positionV relativeFrom="paragraph">
                  <wp:posOffset>83760</wp:posOffset>
                </wp:positionV>
                <wp:extent cx="1682496"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2B7DE"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1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">
                <w10:wrap anchorx="margin"/>
              </v:line>
            </w:pict>
          </mc:Fallback>
        </mc:AlternateContent>
      </w:r>
    </w:p>
    <w:p w14:paraId="78121F56" w14:textId="77777777" w:rsidR="007C037B" w:rsidRPr="00854844" w:rsidRDefault="007C037B" w:rsidP="001C72F5">
      <w:pPr>
        <w:widowControl w:val="0"/>
        <w:spacing w:before="120" w:after="120" w:line="264" w:lineRule="auto"/>
        <w:ind w:firstLine="709"/>
        <w:jc w:val="both"/>
      </w:pPr>
      <w:r w:rsidRPr="00854844">
        <w:t xml:space="preserve">Căn cứ Luật Tổ chức Chính quyền địa phương năm 2015; </w:t>
      </w:r>
      <w:r w:rsidRPr="00854844">
        <w:rPr>
          <w:rFonts w:eastAsia="Times New Roman"/>
          <w:szCs w:val="28"/>
          <w:lang w:eastAsia="x-none"/>
        </w:rPr>
        <w:t xml:space="preserve">Luật </w:t>
      </w:r>
      <w:r w:rsidR="00351123" w:rsidRPr="00854844">
        <w:rPr>
          <w:rFonts w:eastAsia="Times New Roman"/>
          <w:szCs w:val="28"/>
          <w:lang w:eastAsia="x-none"/>
        </w:rPr>
        <w:t>s</w:t>
      </w:r>
      <w:r w:rsidRPr="00854844">
        <w:rPr>
          <w:rFonts w:eastAsia="Times New Roman"/>
          <w:szCs w:val="28"/>
          <w:lang w:eastAsia="x-none"/>
        </w:rPr>
        <w:t xml:space="preserve">ửa đổi, bổ sung một số điều của Luật </w:t>
      </w:r>
      <w:r w:rsidR="00351123" w:rsidRPr="00854844">
        <w:rPr>
          <w:rFonts w:eastAsia="Times New Roman"/>
          <w:szCs w:val="28"/>
          <w:lang w:eastAsia="x-none"/>
        </w:rPr>
        <w:t>T</w:t>
      </w:r>
      <w:r w:rsidRPr="00854844">
        <w:rPr>
          <w:rFonts w:eastAsia="Times New Roman"/>
          <w:szCs w:val="28"/>
          <w:lang w:eastAsia="x-none"/>
        </w:rPr>
        <w:t xml:space="preserve">ổ chức Chính phủ và Luật </w:t>
      </w:r>
      <w:r w:rsidR="00351123" w:rsidRPr="00854844">
        <w:rPr>
          <w:rFonts w:eastAsia="Times New Roman"/>
          <w:szCs w:val="28"/>
          <w:lang w:eastAsia="x-none"/>
        </w:rPr>
        <w:t>T</w:t>
      </w:r>
      <w:r w:rsidRPr="00854844">
        <w:rPr>
          <w:rFonts w:eastAsia="Times New Roman"/>
          <w:szCs w:val="28"/>
          <w:lang w:eastAsia="x-none"/>
        </w:rPr>
        <w:t>ổ chức chính quyền địa phương năm 2019;</w:t>
      </w:r>
      <w:r w:rsidRPr="00854844">
        <w:rPr>
          <w:rFonts w:eastAsia="Times New Roman"/>
          <w:i/>
          <w:szCs w:val="28"/>
          <w:lang w:eastAsia="x-none"/>
        </w:rPr>
        <w:t xml:space="preserve"> </w:t>
      </w:r>
      <w:r w:rsidRPr="00854844">
        <w:t>Luậ</w:t>
      </w:r>
      <w:r w:rsidR="001671ED" w:rsidRPr="00854844">
        <w:t>t H</w:t>
      </w:r>
      <w:r w:rsidRPr="00854844">
        <w:t xml:space="preserve">oạt động giám sát của Quốc hội và Hội đồng nhân dân năm 2015; Luật </w:t>
      </w:r>
      <w:r w:rsidR="001671ED" w:rsidRPr="00854844">
        <w:t>B</w:t>
      </w:r>
      <w:r w:rsidRPr="00854844">
        <w:t>an hành văn bản quy phạm pháp luật năm 2015;</w:t>
      </w:r>
    </w:p>
    <w:p w14:paraId="78121F57" w14:textId="040FE827" w:rsidR="007C037B" w:rsidRPr="00854844" w:rsidRDefault="007C037B" w:rsidP="001C72F5">
      <w:pPr>
        <w:spacing w:before="120" w:after="120" w:line="264" w:lineRule="auto"/>
        <w:ind w:firstLine="709"/>
        <w:jc w:val="both"/>
        <w:rPr>
          <w:u w:val="single"/>
          <w:vertAlign w:val="subscript"/>
        </w:rPr>
      </w:pPr>
      <w:r w:rsidRPr="00854844">
        <w:t xml:space="preserve">Thực hiện sự phân công của Thường trực Hội đồng nhân dân; trên cơ sở Tờ trình số </w:t>
      </w:r>
      <w:r w:rsidR="00F70CDB" w:rsidRPr="00347BFE">
        <w:t>120</w:t>
      </w:r>
      <w:r w:rsidRPr="00854844">
        <w:t xml:space="preserve">/TTr-UBND ngày </w:t>
      </w:r>
      <w:r w:rsidR="00F70CDB" w:rsidRPr="00347BFE">
        <w:t>21</w:t>
      </w:r>
      <w:r w:rsidRPr="00854844">
        <w:t>/</w:t>
      </w:r>
      <w:r w:rsidR="00D4756E" w:rsidRPr="00854844">
        <w:t>10</w:t>
      </w:r>
      <w:r w:rsidRPr="00854844">
        <w:t xml:space="preserve">/2020 của Ủy ban nhân dân tỉnh về </w:t>
      </w:r>
      <w:r w:rsidR="00EE76A4" w:rsidRPr="00854844">
        <w:t xml:space="preserve">dự thảo </w:t>
      </w:r>
      <w:r w:rsidR="00F86784" w:rsidRPr="00854844">
        <w:t xml:space="preserve">nghị quyết </w:t>
      </w:r>
      <w:r w:rsidR="00D4756E" w:rsidRPr="00854844">
        <w:t>sửa đổi, bổ sung Điều 1 Nghị quyết số 29/2020/NQ-HĐND ngày 13 tháng 7 năm 2020 của Hội đồng nhân dân tỉnh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r w:rsidRPr="00854844">
        <w:t xml:space="preserve">; dự thảo </w:t>
      </w:r>
      <w:r w:rsidR="00281692" w:rsidRPr="00854844">
        <w:t>N</w:t>
      </w:r>
      <w:r w:rsidRPr="00854844">
        <w:t>ghị quyết và hồ sơ trình thẩm tra kèm theo</w:t>
      </w:r>
      <w:r w:rsidR="00281692" w:rsidRPr="00854844">
        <w:t>;</w:t>
      </w:r>
      <w:r w:rsidRPr="00854844">
        <w:t xml:space="preserve"> Ban Kinh tế - Ngân sách đã tổ chức phiên họp toàn thể thẩm tra nội dung trên. Tham dự cuộc họp có lãnh đạo các Ban của Hội đồng nhân dân tỉnh; </w:t>
      </w:r>
      <w:r w:rsidRPr="00854844">
        <w:rPr>
          <w:bCs/>
        </w:rPr>
        <w:t xml:space="preserve">đại diện Ủy ban nhân dân tỉnh và các sở, ngành liên quan. </w:t>
      </w:r>
      <w:r w:rsidRPr="00854844">
        <w:t>Ban Kinh tế - Ngân sách báo cáo kết quả thẩm tra như sau:</w:t>
      </w:r>
    </w:p>
    <w:p w14:paraId="78121F58" w14:textId="77777777" w:rsidR="00F86784" w:rsidRPr="00854844" w:rsidRDefault="00F86784" w:rsidP="001C72F5">
      <w:pPr>
        <w:spacing w:before="120" w:after="120" w:line="264" w:lineRule="auto"/>
        <w:ind w:firstLine="709"/>
        <w:jc w:val="both"/>
        <w:rPr>
          <w:rFonts w:eastAsia="Times New Roman"/>
          <w:b/>
          <w:szCs w:val="28"/>
        </w:rPr>
      </w:pPr>
      <w:r w:rsidRPr="00854844">
        <w:rPr>
          <w:rFonts w:eastAsia="Times New Roman"/>
          <w:b/>
          <w:szCs w:val="28"/>
        </w:rPr>
        <w:t>1. Về dự thảo nghị quyết và những vấn đề còn có ý kiến khác nhau</w:t>
      </w:r>
    </w:p>
    <w:p w14:paraId="78121F59" w14:textId="77777777" w:rsidR="00F86784" w:rsidRPr="00854844" w:rsidRDefault="00F86784" w:rsidP="001C72F5">
      <w:pPr>
        <w:spacing w:before="120" w:after="120" w:line="264" w:lineRule="auto"/>
        <w:ind w:firstLine="709"/>
        <w:jc w:val="both"/>
        <w:rPr>
          <w:rFonts w:eastAsia="Times New Roman"/>
          <w:b/>
        </w:rPr>
      </w:pPr>
      <w:r w:rsidRPr="00854844">
        <w:rPr>
          <w:rFonts w:eastAsia="Times New Roman"/>
          <w:b/>
        </w:rPr>
        <w:t>1.1. Nội dung của dự thảo nghị quyết</w:t>
      </w:r>
    </w:p>
    <w:p w14:paraId="78121F5A" w14:textId="534E775B" w:rsidR="00F86784" w:rsidRPr="00854844" w:rsidRDefault="00F86784" w:rsidP="001C72F5">
      <w:pPr>
        <w:spacing w:before="120" w:after="120" w:line="264" w:lineRule="auto"/>
        <w:ind w:firstLine="709"/>
        <w:jc w:val="both"/>
        <w:rPr>
          <w:rFonts w:eastAsia="Times New Roman"/>
        </w:rPr>
      </w:pPr>
      <w:r w:rsidRPr="00854844">
        <w:rPr>
          <w:rFonts w:eastAsia="Times New Roman"/>
        </w:rPr>
        <w:t xml:space="preserve">Trên cơ sở quy định của Luật </w:t>
      </w:r>
      <w:r w:rsidR="00D147EA" w:rsidRPr="00854844">
        <w:rPr>
          <w:rFonts w:eastAsia="Times New Roman"/>
        </w:rPr>
        <w:t xml:space="preserve">Đầu </w:t>
      </w:r>
      <w:r w:rsidRPr="00854844">
        <w:rPr>
          <w:rFonts w:eastAsia="Times New Roman"/>
        </w:rPr>
        <w:t xml:space="preserve">tư công và các văn bản hướng dẫn của Trung ương, Ủy ban nhân dân tỉnh đã giao Sở Kế hoạch và Đầu tư chủ trì, phối hợp với các cơ quan có liên quan xây dựng dự thảo nghị quyết và tham mưu Ủy ban nhân dân tỉnh trình Hội đồng nhân dân tỉnh xem xét, ban hành nghị quyết </w:t>
      </w:r>
      <w:r w:rsidR="007C0A9A" w:rsidRPr="00854844">
        <w:rPr>
          <w:rFonts w:eastAsia="Times New Roman"/>
        </w:rPr>
        <w:t>sửa đổi, bổ sung Điều 1 Nghị quyết số 29/2020/NQ-HĐND ngày 13 tháng 7 năm 2020 của Hội đồng nhân dân tỉnh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r w:rsidRPr="00854844">
        <w:rPr>
          <w:rFonts w:eastAsia="Times New Roman"/>
        </w:rPr>
        <w:t>, cụ thể như sau:</w:t>
      </w:r>
    </w:p>
    <w:p w14:paraId="78121F5B" w14:textId="17B6FCA3" w:rsidR="00622416" w:rsidRPr="00854844" w:rsidRDefault="00622416" w:rsidP="001C72F5">
      <w:pPr>
        <w:spacing w:before="120" w:after="120" w:line="264" w:lineRule="auto"/>
        <w:ind w:firstLine="709"/>
        <w:jc w:val="both"/>
        <w:rPr>
          <w:bCs/>
          <w:szCs w:val="28"/>
        </w:rPr>
      </w:pPr>
      <w:r w:rsidRPr="00854844">
        <w:rPr>
          <w:rFonts w:eastAsia="Times New Roman"/>
        </w:rPr>
        <w:lastRenderedPageBreak/>
        <w:t>Theo báo cáo</w:t>
      </w:r>
      <w:r w:rsidR="00B963E3" w:rsidRPr="00854844">
        <w:rPr>
          <w:rFonts w:eastAsia="Times New Roman"/>
        </w:rPr>
        <w:t xml:space="preserve"> của </w:t>
      </w:r>
      <w:r w:rsidR="005A26FF" w:rsidRPr="00854844">
        <w:t xml:space="preserve">Ủy ban nhân dân </w:t>
      </w:r>
      <w:r w:rsidR="00B963E3" w:rsidRPr="00854844">
        <w:rPr>
          <w:rFonts w:eastAsia="Times New Roman"/>
        </w:rPr>
        <w:t>tỉnh</w:t>
      </w:r>
      <w:r w:rsidRPr="00854844">
        <w:rPr>
          <w:rFonts w:eastAsia="Times New Roman"/>
        </w:rPr>
        <w:t xml:space="preserve">, </w:t>
      </w:r>
      <w:r w:rsidRPr="00854844">
        <w:rPr>
          <w:szCs w:val="28"/>
        </w:rPr>
        <w:t>tổng kế hoạch vốn đầu tư công trung hạn giai đoạn 2016 - 2020 nguồn ngân sách địa phương</w:t>
      </w:r>
      <w:r w:rsidRPr="00854844">
        <w:rPr>
          <w:szCs w:val="28"/>
          <w:vertAlign w:val="superscript"/>
        </w:rPr>
        <w:t>(</w:t>
      </w:r>
      <w:r w:rsidRPr="00854844">
        <w:rPr>
          <w:vertAlign w:val="superscript"/>
        </w:rPr>
        <w:footnoteReference w:id="1"/>
      </w:r>
      <w:r w:rsidRPr="00854844">
        <w:rPr>
          <w:szCs w:val="28"/>
          <w:vertAlign w:val="superscript"/>
        </w:rPr>
        <w:t>)</w:t>
      </w:r>
      <w:r w:rsidR="001809A7" w:rsidRPr="00854844">
        <w:rPr>
          <w:szCs w:val="28"/>
          <w:vertAlign w:val="superscript"/>
        </w:rPr>
        <w:t xml:space="preserve"> </w:t>
      </w:r>
      <w:r w:rsidR="001809A7" w:rsidRPr="00854844">
        <w:rPr>
          <w:szCs w:val="28"/>
        </w:rPr>
        <w:t>đã được</w:t>
      </w:r>
      <w:r w:rsidRPr="00854844">
        <w:rPr>
          <w:szCs w:val="28"/>
        </w:rPr>
        <w:t xml:space="preserve"> Hội đồng nhân dân tỉnh phân bổ là </w:t>
      </w:r>
      <w:r w:rsidR="00A14706" w:rsidRPr="00854844">
        <w:rPr>
          <w:bCs/>
          <w:lang w:val="it-IT"/>
        </w:rPr>
        <w:t>5.969.452 triệu đồng, trong đó: phân bổ chi tiết để thực hiện các dự án là 5.962.317 triệu đồng và dự phòng để xử lý những vấn đề phát sinh trong quá trình triển khai kế hoạch đầu tư trung hạn theo quy định của Luật đầu tư công là 7.135 triệu đồng</w:t>
      </w:r>
      <w:r w:rsidR="001809A7" w:rsidRPr="00854844">
        <w:rPr>
          <w:vertAlign w:val="superscript"/>
        </w:rPr>
        <w:t>(</w:t>
      </w:r>
      <w:r w:rsidR="001809A7" w:rsidRPr="00854844">
        <w:rPr>
          <w:rStyle w:val="FootnoteReference"/>
          <w:lang w:val="en-US"/>
        </w:rPr>
        <w:footnoteReference w:id="2"/>
      </w:r>
      <w:r w:rsidR="001809A7" w:rsidRPr="00854844">
        <w:rPr>
          <w:vertAlign w:val="superscript"/>
        </w:rPr>
        <w:t>)</w:t>
      </w:r>
      <w:r w:rsidRPr="00854844">
        <w:rPr>
          <w:szCs w:val="28"/>
        </w:rPr>
        <w:t xml:space="preserve">. </w:t>
      </w:r>
    </w:p>
    <w:p w14:paraId="78121F5C" w14:textId="749672A3" w:rsidR="00777326" w:rsidRPr="00854844" w:rsidRDefault="00777326" w:rsidP="001C72F5">
      <w:pPr>
        <w:spacing w:before="120" w:after="120" w:line="264" w:lineRule="auto"/>
        <w:ind w:firstLine="709"/>
        <w:jc w:val="both"/>
        <w:rPr>
          <w:rFonts w:eastAsia="Times New Roman"/>
        </w:rPr>
      </w:pPr>
      <w:r w:rsidRPr="00854844">
        <w:rPr>
          <w:rFonts w:eastAsia="Times New Roman"/>
        </w:rPr>
        <w:t xml:space="preserve">Trong quá trình triển khai thực hiện, </w:t>
      </w:r>
      <w:r w:rsidR="001256A7" w:rsidRPr="00854844">
        <w:rPr>
          <w:rFonts w:eastAsia="Times New Roman"/>
        </w:rPr>
        <w:t xml:space="preserve">để phù hợp với quy định và tình hình thực tế, </w:t>
      </w:r>
      <w:r w:rsidR="006A08C8" w:rsidRPr="00854844">
        <w:rPr>
          <w:rFonts w:eastAsia="Times New Roman"/>
        </w:rPr>
        <w:t xml:space="preserve">Ủy ban nhân dân tỉnh trình Hội đồng nhân dân tỉnh xem xét </w:t>
      </w:r>
      <w:r w:rsidR="006A08C8" w:rsidRPr="00854844">
        <w:rPr>
          <w:lang w:val="nl-NL"/>
        </w:rPr>
        <w:t>điều chỉnh</w:t>
      </w:r>
      <w:r w:rsidR="001256A7" w:rsidRPr="00854844">
        <w:rPr>
          <w:lang w:val="nl-NL"/>
        </w:rPr>
        <w:t xml:space="preserve">, bổ sung một số nội dung </w:t>
      </w:r>
      <w:r w:rsidR="006A08C8" w:rsidRPr="00854844">
        <w:rPr>
          <w:lang w:val="nl-NL"/>
        </w:rPr>
        <w:t>kế hoạch đầu tư công giai đoạn 2016 - 2020</w:t>
      </w:r>
      <w:r w:rsidR="006A08C8" w:rsidRPr="00854844">
        <w:rPr>
          <w:rFonts w:eastAsia="Times New Roman"/>
        </w:rPr>
        <w:t xml:space="preserve">. </w:t>
      </w:r>
      <w:r w:rsidRPr="00854844">
        <w:rPr>
          <w:rFonts w:eastAsia="Times New Roman"/>
        </w:rPr>
        <w:t>Cụ thể:</w:t>
      </w:r>
    </w:p>
    <w:p w14:paraId="56234301" w14:textId="18BF2D5A" w:rsidR="006A08C8" w:rsidRPr="00854844" w:rsidRDefault="006A08C8" w:rsidP="001C72F5">
      <w:pPr>
        <w:spacing w:before="120" w:after="120" w:line="264" w:lineRule="auto"/>
        <w:ind w:firstLine="709"/>
        <w:jc w:val="both"/>
        <w:rPr>
          <w:spacing w:val="-2"/>
        </w:rPr>
      </w:pPr>
      <w:r w:rsidRPr="00854844">
        <w:rPr>
          <w:spacing w:val="-2"/>
        </w:rPr>
        <w:t xml:space="preserve">- Việc bố trí vốn cho một số dự án phụ thuộc vào tiến độ nguồn thu. Đến nay </w:t>
      </w:r>
      <w:bookmarkStart w:id="0" w:name="_Hlk53067585"/>
      <w:r w:rsidRPr="00854844">
        <w:rPr>
          <w:spacing w:val="-2"/>
        </w:rPr>
        <w:t xml:space="preserve">nguồn thu tiền sử dụng đất và xổ số kiến thiết chưa đảm bảo để thực hiện kế hoạch 2016-2020 đã ban </w:t>
      </w:r>
      <w:r w:rsidRPr="00854844">
        <w:rPr>
          <w:rFonts w:eastAsia="Times New Roman"/>
        </w:rPr>
        <w:t>hành</w:t>
      </w:r>
      <w:r w:rsidRPr="00854844">
        <w:rPr>
          <w:spacing w:val="-2"/>
        </w:rPr>
        <w:t xml:space="preserve">, nên cần phải điều chỉnh </w:t>
      </w:r>
      <w:bookmarkEnd w:id="0"/>
      <w:r w:rsidRPr="00854844">
        <w:rPr>
          <w:spacing w:val="-2"/>
        </w:rPr>
        <w:t>giảm kế hoạch vốn, một số dự án điều chỉnh giảm tổng mức đầu tư hoặc điều chuyển sang sử dụng nguồn vốn khác để đảm bảo khả năng thực hiện</w:t>
      </w:r>
      <w:r w:rsidRPr="00854844">
        <w:rPr>
          <w:spacing w:val="-2"/>
          <w:vertAlign w:val="superscript"/>
        </w:rPr>
        <w:t>(</w:t>
      </w:r>
      <w:r w:rsidRPr="00854844">
        <w:rPr>
          <w:rStyle w:val="FootnoteReference"/>
          <w:spacing w:val="-2"/>
        </w:rPr>
        <w:footnoteReference w:id="3"/>
      </w:r>
      <w:r w:rsidRPr="00854844">
        <w:rPr>
          <w:spacing w:val="-2"/>
          <w:vertAlign w:val="superscript"/>
        </w:rPr>
        <w:t>)</w:t>
      </w:r>
      <w:r w:rsidRPr="00854844">
        <w:rPr>
          <w:spacing w:val="-2"/>
        </w:rPr>
        <w:t>.</w:t>
      </w:r>
    </w:p>
    <w:p w14:paraId="21CE654A" w14:textId="307C1C90" w:rsidR="006A08C8" w:rsidRPr="00854844" w:rsidRDefault="006A08C8" w:rsidP="001C72F5">
      <w:pPr>
        <w:spacing w:before="120" w:after="120" w:line="264" w:lineRule="auto"/>
        <w:ind w:firstLine="709"/>
        <w:jc w:val="both"/>
        <w:rPr>
          <w:spacing w:val="-2"/>
        </w:rPr>
      </w:pPr>
      <w:r w:rsidRPr="00854844">
        <w:rPr>
          <w:spacing w:val="-2"/>
          <w:lang w:val="nl-NL"/>
        </w:rPr>
        <w:t xml:space="preserve">- </w:t>
      </w:r>
      <w:bookmarkStart w:id="1" w:name="_Hlk53067546"/>
      <w:r w:rsidRPr="00854844">
        <w:rPr>
          <w:spacing w:val="-2"/>
          <w:lang w:val="nl-NL"/>
        </w:rPr>
        <w:t>C</w:t>
      </w:r>
      <w:r w:rsidRPr="00854844">
        <w:rPr>
          <w:spacing w:val="-2"/>
        </w:rPr>
        <w:t xml:space="preserve">ó một số dự án </w:t>
      </w:r>
      <w:r w:rsidRPr="00854844">
        <w:rPr>
          <w:rFonts w:eastAsia="Times New Roman"/>
        </w:rPr>
        <w:t>cấp</w:t>
      </w:r>
      <w:r w:rsidRPr="00854844">
        <w:rPr>
          <w:spacing w:val="-2"/>
        </w:rPr>
        <w:t xml:space="preserve"> bách cần phải được bổ sung thêm nguồn vốn </w:t>
      </w:r>
      <w:bookmarkEnd w:id="1"/>
      <w:r w:rsidRPr="00854844">
        <w:rPr>
          <w:spacing w:val="-2"/>
        </w:rPr>
        <w:t>trong Kế hoạch đầu tư công trung hạn giai đoạn 2016 - 2020 của tỉnh để triển khai thực hiện nhằm đẩy nhanh tiến độ thực hiện, sớm đưa công trình vào khai thác, sử dụng hiệu quả.</w:t>
      </w:r>
    </w:p>
    <w:p w14:paraId="06109F41" w14:textId="7905F210" w:rsidR="006A08C8" w:rsidRPr="00854844" w:rsidRDefault="006A08C8" w:rsidP="001C72F5">
      <w:pPr>
        <w:spacing w:before="120" w:after="120" w:line="264" w:lineRule="auto"/>
        <w:ind w:firstLine="709"/>
        <w:jc w:val="both"/>
      </w:pPr>
      <w:r w:rsidRPr="00854844">
        <w:rPr>
          <w:spacing w:val="-2"/>
        </w:rPr>
        <w:t>- Một số dự án dừng triển khai hoặc không có khả năng triển khai thực hiện nguồn vốn được giao trong kế hoạch</w:t>
      </w:r>
      <w:r w:rsidR="00B84767" w:rsidRPr="00854844">
        <w:rPr>
          <w:spacing w:val="-2"/>
        </w:rPr>
        <w:t xml:space="preserve"> đầu tư công</w:t>
      </w:r>
      <w:r w:rsidRPr="00854844">
        <w:rPr>
          <w:spacing w:val="-2"/>
        </w:rPr>
        <w:t xml:space="preserve"> trung hạn</w:t>
      </w:r>
      <w:r w:rsidRPr="00854844">
        <w:rPr>
          <w:spacing w:val="-2"/>
          <w:vertAlign w:val="superscript"/>
        </w:rPr>
        <w:t>(</w:t>
      </w:r>
      <w:r w:rsidRPr="00854844">
        <w:rPr>
          <w:rStyle w:val="FootnoteReference"/>
          <w:spacing w:val="-2"/>
        </w:rPr>
        <w:footnoteReference w:id="4"/>
      </w:r>
      <w:r w:rsidRPr="00854844">
        <w:rPr>
          <w:spacing w:val="-2"/>
          <w:vertAlign w:val="superscript"/>
        </w:rPr>
        <w:t>)</w:t>
      </w:r>
      <w:r w:rsidRPr="00854844">
        <w:rPr>
          <w:spacing w:val="-2"/>
        </w:rPr>
        <w:t>. Bên cạnh đó có một số dự án kế hoạch đầu tư công trung hạn giai đoạn 2016 - 2020 đã bố trí chưa đủ so với nhu cầu vì điều chỉnh chủ trương đầu tư</w:t>
      </w:r>
      <w:r w:rsidRPr="00854844">
        <w:rPr>
          <w:spacing w:val="-2"/>
          <w:vertAlign w:val="superscript"/>
        </w:rPr>
        <w:t>(</w:t>
      </w:r>
      <w:r w:rsidRPr="00854844">
        <w:rPr>
          <w:rStyle w:val="FootnoteReference"/>
          <w:spacing w:val="-2"/>
        </w:rPr>
        <w:footnoteReference w:id="5"/>
      </w:r>
      <w:r w:rsidRPr="00854844">
        <w:rPr>
          <w:spacing w:val="-2"/>
          <w:vertAlign w:val="superscript"/>
        </w:rPr>
        <w:t>)</w:t>
      </w:r>
      <w:r w:rsidRPr="00854844">
        <w:rPr>
          <w:spacing w:val="-2"/>
        </w:rPr>
        <w:t>…</w:t>
      </w:r>
    </w:p>
    <w:p w14:paraId="5432EAFB" w14:textId="54F615FC" w:rsidR="00B84767" w:rsidRPr="00854844" w:rsidRDefault="00B84767" w:rsidP="001C72F5">
      <w:pPr>
        <w:spacing w:before="120" w:after="120" w:line="264" w:lineRule="auto"/>
        <w:ind w:firstLine="709"/>
        <w:jc w:val="both"/>
        <w:rPr>
          <w:rFonts w:eastAsia="Times New Roman"/>
        </w:rPr>
      </w:pPr>
      <w:r w:rsidRPr="00854844">
        <w:rPr>
          <w:rFonts w:eastAsia="Times New Roman"/>
        </w:rPr>
        <w:t xml:space="preserve">- Sau khi </w:t>
      </w:r>
      <w:r w:rsidRPr="00854844">
        <w:rPr>
          <w:spacing w:val="-2"/>
        </w:rPr>
        <w:t xml:space="preserve">kế hoạch đầu tư công trung hạn được điều chỉnh, nguồn dự phòng chưa phân bổ </w:t>
      </w:r>
      <w:r w:rsidR="00555D60" w:rsidRPr="00854844">
        <w:rPr>
          <w:spacing w:val="-2"/>
        </w:rPr>
        <w:t xml:space="preserve">là </w:t>
      </w:r>
      <w:r w:rsidR="006B2E11" w:rsidRPr="00854844">
        <w:rPr>
          <w:spacing w:val="-2"/>
        </w:rPr>
        <w:t>66.748</w:t>
      </w:r>
      <w:r w:rsidRPr="00854844">
        <w:rPr>
          <w:spacing w:val="-2"/>
        </w:rPr>
        <w:t xml:space="preserve"> triệu đồng, trong đó: nguồn thu tiền sử dụng đất 39.088 triệu đồng; nguồn thu xổ số kiến thiết 20.525 triệu đồng</w:t>
      </w:r>
      <w:r w:rsidR="006B2E11" w:rsidRPr="00854844">
        <w:rPr>
          <w:spacing w:val="-2"/>
        </w:rPr>
        <w:t xml:space="preserve">; </w:t>
      </w:r>
      <w:r w:rsidR="006B2E11" w:rsidRPr="00854844">
        <w:t>nguồn thu để lại chưa đưa vào cân đối ngân sách là 7.135 triệu đồng</w:t>
      </w:r>
      <w:r w:rsidRPr="00854844">
        <w:rPr>
          <w:spacing w:val="-2"/>
        </w:rPr>
        <w:t>.</w:t>
      </w:r>
    </w:p>
    <w:p w14:paraId="78121F60" w14:textId="249752AF" w:rsidR="00F86784" w:rsidRPr="00854844" w:rsidRDefault="00F86784" w:rsidP="001C72F5">
      <w:pPr>
        <w:spacing w:before="120" w:after="120" w:line="264" w:lineRule="auto"/>
        <w:ind w:firstLine="709"/>
        <w:jc w:val="both"/>
        <w:rPr>
          <w:rFonts w:eastAsia="Times New Roman"/>
        </w:rPr>
      </w:pPr>
      <w:r w:rsidRPr="00854844">
        <w:rPr>
          <w:rFonts w:eastAsia="Times New Roman"/>
        </w:rPr>
        <w:lastRenderedPageBreak/>
        <w:t xml:space="preserve">Căn cứ Luật </w:t>
      </w:r>
      <w:r w:rsidR="001256A7" w:rsidRPr="00854844">
        <w:rPr>
          <w:rFonts w:eastAsia="Times New Roman"/>
        </w:rPr>
        <w:t>Đ</w:t>
      </w:r>
      <w:r w:rsidRPr="00854844">
        <w:rPr>
          <w:rFonts w:eastAsia="Times New Roman"/>
        </w:rPr>
        <w:t xml:space="preserve">ầu tư công và các văn bản hướng dẫn của Trung ương, Ban Kinh tế - Ngân sách nhận thấy việc Ủy ban nhân dân tỉnh xây dựng Nghị quyết trình Hội đồng nhân dân tỉnh xem xét, quyết định các nội dung trên là cần thiết, phù hợp với quy định của pháp luật; đảm bảo các điều kiện theo quy định của Luật Đầu tư công; việc </w:t>
      </w:r>
      <w:r w:rsidR="00B8370F" w:rsidRPr="00854844">
        <w:rPr>
          <w:rFonts w:eastAsia="Times New Roman"/>
        </w:rPr>
        <w:t>cân đối bố trí</w:t>
      </w:r>
      <w:r w:rsidR="00907DD4" w:rsidRPr="00854844">
        <w:rPr>
          <w:rFonts w:eastAsia="Times New Roman"/>
        </w:rPr>
        <w:t>,</w:t>
      </w:r>
      <w:r w:rsidR="00B8370F" w:rsidRPr="00854844">
        <w:rPr>
          <w:rFonts w:eastAsia="Times New Roman"/>
        </w:rPr>
        <w:t xml:space="preserve"> </w:t>
      </w:r>
      <w:r w:rsidRPr="00854844">
        <w:rPr>
          <w:rFonts w:eastAsia="Times New Roman"/>
        </w:rPr>
        <w:t xml:space="preserve">phân bổ vốn phù hợp với khả năng ngân sách, nguồn vốn và tình hình thực tế của địa phương. </w:t>
      </w:r>
    </w:p>
    <w:p w14:paraId="78121F61" w14:textId="77777777" w:rsidR="00F86784" w:rsidRPr="00854844" w:rsidRDefault="00F86784" w:rsidP="001C72F5">
      <w:pPr>
        <w:spacing w:before="120" w:after="120" w:line="264" w:lineRule="auto"/>
        <w:ind w:firstLine="709"/>
        <w:jc w:val="both"/>
        <w:rPr>
          <w:rFonts w:eastAsia="Times New Roman"/>
          <w:b/>
          <w:lang w:val="de-DE"/>
        </w:rPr>
      </w:pPr>
      <w:r w:rsidRPr="00854844">
        <w:rPr>
          <w:rFonts w:eastAsia="Times New Roman"/>
          <w:b/>
          <w:shd w:val="clear" w:color="auto" w:fill="FFFFFF"/>
        </w:rPr>
        <w:t xml:space="preserve">1.2. </w:t>
      </w:r>
      <w:r w:rsidRPr="00854844">
        <w:rPr>
          <w:rFonts w:eastAsia="Times New Roman"/>
          <w:b/>
        </w:rPr>
        <w:t>Những vấn đề còn có ý kiến khác nhau</w:t>
      </w:r>
    </w:p>
    <w:p w14:paraId="78121F62" w14:textId="1578B034" w:rsidR="00F86784" w:rsidRPr="00854844" w:rsidRDefault="00F86784" w:rsidP="001C72F5">
      <w:pPr>
        <w:spacing w:before="120" w:after="120" w:line="264" w:lineRule="auto"/>
        <w:ind w:firstLine="709"/>
        <w:jc w:val="both"/>
        <w:rPr>
          <w:rFonts w:eastAsia="Times New Roman"/>
          <w:lang w:val="de-DE"/>
        </w:rPr>
      </w:pPr>
      <w:r w:rsidRPr="00854844">
        <w:rPr>
          <w:rFonts w:eastAsia="Times New Roman"/>
        </w:rPr>
        <w:t>Đối với ý kiến thẩm định của Sở Tư pháp: Có 0</w:t>
      </w:r>
      <w:r w:rsidR="00907DD4" w:rsidRPr="00854844">
        <w:rPr>
          <w:rFonts w:eastAsia="Times New Roman"/>
          <w:lang w:val="de-DE"/>
        </w:rPr>
        <w:t>5</w:t>
      </w:r>
      <w:r w:rsidRPr="00854844">
        <w:rPr>
          <w:rFonts w:eastAsia="Times New Roman"/>
        </w:rPr>
        <w:t xml:space="preserve"> ý kiến. Đơn vị chủ trì soạn thảo thống nhất tiếp thu 0</w:t>
      </w:r>
      <w:r w:rsidR="005A26FF" w:rsidRPr="00854844">
        <w:rPr>
          <w:rFonts w:eastAsia="Times New Roman"/>
        </w:rPr>
        <w:t>4</w:t>
      </w:r>
      <w:r w:rsidRPr="00854844">
        <w:rPr>
          <w:rFonts w:eastAsia="Times New Roman"/>
        </w:rPr>
        <w:t xml:space="preserve"> ý kiến</w:t>
      </w:r>
      <w:r w:rsidR="00907DD4" w:rsidRPr="00854844">
        <w:rPr>
          <w:rFonts w:eastAsia="Times New Roman"/>
        </w:rPr>
        <w:t xml:space="preserve"> và giải trình 01 ý kiến</w:t>
      </w:r>
      <w:r w:rsidRPr="00854844">
        <w:rPr>
          <w:rFonts w:eastAsia="Times New Roman"/>
        </w:rPr>
        <w:t>.</w:t>
      </w:r>
      <w:r w:rsidRPr="00854844">
        <w:rPr>
          <w:rFonts w:eastAsia="Times New Roman"/>
          <w:lang w:val="de-DE"/>
        </w:rPr>
        <w:t xml:space="preserve"> </w:t>
      </w:r>
    </w:p>
    <w:p w14:paraId="78121F64" w14:textId="19AEC0CA" w:rsidR="00F86784" w:rsidRPr="00854844" w:rsidRDefault="00F86784" w:rsidP="001C72F5">
      <w:pPr>
        <w:spacing w:before="120" w:after="120" w:line="264" w:lineRule="auto"/>
        <w:ind w:firstLine="709"/>
        <w:jc w:val="both"/>
        <w:rPr>
          <w:rFonts w:eastAsia="Times New Roman"/>
        </w:rPr>
      </w:pPr>
      <w:r w:rsidRPr="00854844">
        <w:rPr>
          <w:rFonts w:eastAsia="Times New Roman"/>
        </w:rPr>
        <w:t xml:space="preserve">Qua nghiên cứu nội dung tiếp thu, giải trình ý kiến tham gia của các cơ quan đơn vị, thành viên Ủy ban nhân dân tỉnh và ý kiến thẩm định của Sở Tư pháp tại Văn bản số </w:t>
      </w:r>
      <w:r w:rsidR="00EF4C93" w:rsidRPr="00347BFE">
        <w:rPr>
          <w:rFonts w:eastAsia="Times New Roman"/>
          <w:lang w:val="de-DE"/>
        </w:rPr>
        <w:t>2612/</w:t>
      </w:r>
      <w:r w:rsidRPr="00854844">
        <w:rPr>
          <w:rFonts w:eastAsia="Times New Roman"/>
        </w:rPr>
        <w:t xml:space="preserve">SKHĐT-TH ngày </w:t>
      </w:r>
      <w:r w:rsidR="00EF4C93" w:rsidRPr="00854844">
        <w:rPr>
          <w:rFonts w:eastAsia="Times New Roman"/>
          <w:lang w:val="de-DE"/>
        </w:rPr>
        <w:t>16</w:t>
      </w:r>
      <w:r w:rsidR="00977F88" w:rsidRPr="00854844">
        <w:rPr>
          <w:rFonts w:eastAsia="Times New Roman"/>
          <w:lang w:val="de-DE"/>
        </w:rPr>
        <w:t>/</w:t>
      </w:r>
      <w:r w:rsidR="00EF4C93" w:rsidRPr="00854844">
        <w:rPr>
          <w:rFonts w:eastAsia="Times New Roman"/>
          <w:lang w:val="de-DE"/>
        </w:rPr>
        <w:t>10</w:t>
      </w:r>
      <w:r w:rsidRPr="00854844">
        <w:rPr>
          <w:rFonts w:eastAsia="Times New Roman"/>
        </w:rPr>
        <w:t>/20</w:t>
      </w:r>
      <w:r w:rsidR="005A26FF" w:rsidRPr="00854844">
        <w:rPr>
          <w:rFonts w:eastAsia="Times New Roman"/>
          <w:lang w:val="de-DE"/>
        </w:rPr>
        <w:t>20</w:t>
      </w:r>
      <w:r w:rsidRPr="00854844">
        <w:rPr>
          <w:rFonts w:eastAsia="Times New Roman"/>
        </w:rPr>
        <w:t xml:space="preserve"> của Sở </w:t>
      </w:r>
      <w:r w:rsidRPr="00854844">
        <w:rPr>
          <w:rFonts w:eastAsia="Times New Roman"/>
          <w:lang w:val="de-DE"/>
        </w:rPr>
        <w:t>Kế hoạch và Đầu tư</w:t>
      </w:r>
      <w:r w:rsidRPr="00854844">
        <w:rPr>
          <w:rFonts w:eastAsia="Times New Roman"/>
        </w:rPr>
        <w:t xml:space="preserve">, Ban nhận thấy, đơn vị chủ trì soạn thảo đã giải trình, tiếp thu đầy đủ, nghiêm túc ý kiến thẩm định </w:t>
      </w:r>
      <w:r w:rsidRPr="00854844">
        <w:rPr>
          <w:rFonts w:eastAsia="Times New Roman"/>
          <w:lang w:val="de-DE"/>
        </w:rPr>
        <w:t>của Sở Tư pháp</w:t>
      </w:r>
      <w:r w:rsidRPr="00854844">
        <w:rPr>
          <w:rFonts w:eastAsia="Times New Roman"/>
        </w:rPr>
        <w:t xml:space="preserve">. Ban Kinh tế - Ngân sách </w:t>
      </w:r>
      <w:r w:rsidR="005A26FF" w:rsidRPr="00854844">
        <w:rPr>
          <w:rFonts w:eastAsia="Times New Roman"/>
        </w:rPr>
        <w:t xml:space="preserve">cơ bản </w:t>
      </w:r>
      <w:r w:rsidRPr="00854844">
        <w:rPr>
          <w:rFonts w:eastAsia="Times New Roman"/>
        </w:rPr>
        <w:t>nhất trí với nội dung giải trình, tiếp thu đối với các vấn đề còn có ý kiến khác nhau.</w:t>
      </w:r>
    </w:p>
    <w:p w14:paraId="78121F65" w14:textId="77777777" w:rsidR="00F86784" w:rsidRPr="00854844" w:rsidRDefault="005A26FF" w:rsidP="001C72F5">
      <w:pPr>
        <w:spacing w:before="120" w:after="120" w:line="264" w:lineRule="auto"/>
        <w:ind w:firstLine="709"/>
        <w:jc w:val="both"/>
        <w:rPr>
          <w:rFonts w:eastAsia="Times New Roman"/>
          <w:b/>
        </w:rPr>
      </w:pPr>
      <w:r w:rsidRPr="00854844">
        <w:rPr>
          <w:rFonts w:eastAsia="Times New Roman"/>
          <w:b/>
        </w:rPr>
        <w:t>II</w:t>
      </w:r>
      <w:r w:rsidR="00F86784" w:rsidRPr="00854844">
        <w:rPr>
          <w:rFonts w:eastAsia="Times New Roman"/>
          <w:b/>
        </w:rPr>
        <w:t>. Sự phù hợp của nội dung dự thảo</w:t>
      </w:r>
      <w:r w:rsidR="00F86784" w:rsidRPr="00854844">
        <w:rPr>
          <w:rFonts w:eastAsia="Times New Roman"/>
        </w:rPr>
        <w:t xml:space="preserve"> </w:t>
      </w:r>
      <w:r w:rsidR="00F86784" w:rsidRPr="00854844">
        <w:rPr>
          <w:rFonts w:eastAsia="Times New Roman"/>
          <w:b/>
        </w:rPr>
        <w:t>nghị quyết với đường lối, chủ trương của Đảng, chính sách của Nhà nước; tình hình, điều kiện phát triển kinh tế - xã hội của địa phương</w:t>
      </w:r>
    </w:p>
    <w:p w14:paraId="78121F66" w14:textId="77777777" w:rsidR="005A26FF" w:rsidRPr="00854844" w:rsidRDefault="005A26FF" w:rsidP="001C72F5">
      <w:pPr>
        <w:spacing w:before="120" w:after="120" w:line="264" w:lineRule="auto"/>
        <w:ind w:firstLine="709"/>
        <w:jc w:val="both"/>
        <w:rPr>
          <w:shd w:val="clear" w:color="auto" w:fill="FFFFFF"/>
        </w:rPr>
      </w:pPr>
      <w:r w:rsidRPr="00854844">
        <w:t xml:space="preserve">Nội dung </w:t>
      </w:r>
      <w:r w:rsidRPr="00854844">
        <w:rPr>
          <w:shd w:val="clear" w:color="auto" w:fill="FFFFFF"/>
        </w:rPr>
        <w:t xml:space="preserve">dự thảo Nghị quyết </w:t>
      </w:r>
      <w:r w:rsidRPr="00854844">
        <w:t>phù hợp với đường lối, chủ trương của Đảng, chính sách của Nhà nước.</w:t>
      </w:r>
      <w:r w:rsidRPr="00854844">
        <w:rPr>
          <w:shd w:val="clear" w:color="auto" w:fill="FFFFFF"/>
        </w:rPr>
        <w:t xml:space="preserve"> </w:t>
      </w:r>
      <w:r w:rsidRPr="00854844">
        <w:t xml:space="preserve">Việc Ủy ban nhân dân tỉnh </w:t>
      </w:r>
      <w:r w:rsidRPr="00854844">
        <w:rPr>
          <w:spacing w:val="2"/>
        </w:rPr>
        <w:t xml:space="preserve">trình </w:t>
      </w:r>
      <w:r w:rsidRPr="00854844">
        <w:t xml:space="preserve">Hội đồng nhân dân tỉnh </w:t>
      </w:r>
      <w:r w:rsidRPr="00854844">
        <w:rPr>
          <w:spacing w:val="2"/>
        </w:rPr>
        <w:t xml:space="preserve">ban hành Nghị quyết </w:t>
      </w:r>
      <w:r w:rsidRPr="00854844">
        <w:t xml:space="preserve">này </w:t>
      </w:r>
      <w:r w:rsidRPr="00854844">
        <w:rPr>
          <w:spacing w:val="2"/>
        </w:rPr>
        <w:t>là cần thiết, đúng quy định pháp luật và phù hợp với điều kiện thực tế của địa phương</w:t>
      </w:r>
      <w:r w:rsidRPr="00854844">
        <w:t>.</w:t>
      </w:r>
    </w:p>
    <w:p w14:paraId="78121F67" w14:textId="77777777" w:rsidR="00F86784" w:rsidRPr="00854844" w:rsidRDefault="005A26FF" w:rsidP="001C72F5">
      <w:pPr>
        <w:spacing w:before="120" w:after="120" w:line="264" w:lineRule="auto"/>
        <w:ind w:firstLine="709"/>
        <w:jc w:val="both"/>
        <w:rPr>
          <w:rFonts w:eastAsia="Times New Roman"/>
          <w:b/>
        </w:rPr>
      </w:pPr>
      <w:r w:rsidRPr="00854844">
        <w:rPr>
          <w:rFonts w:eastAsia="Times New Roman"/>
          <w:b/>
        </w:rPr>
        <w:t>III</w:t>
      </w:r>
      <w:r w:rsidR="00F86784" w:rsidRPr="00854844">
        <w:rPr>
          <w:rFonts w:eastAsia="Times New Roman"/>
          <w:b/>
        </w:rPr>
        <w:t xml:space="preserve">. Tính hợp hiến, hợp pháp và tính thống nhất của dự thảo nghị quyết với hệ thống pháp luật </w:t>
      </w:r>
    </w:p>
    <w:p w14:paraId="78121F68" w14:textId="77777777" w:rsidR="005A26FF" w:rsidRPr="00854844" w:rsidRDefault="005A26FF" w:rsidP="001C72F5">
      <w:pPr>
        <w:spacing w:before="120" w:after="120" w:line="264" w:lineRule="auto"/>
        <w:ind w:firstLine="709"/>
        <w:jc w:val="both"/>
        <w:rPr>
          <w:i/>
        </w:rPr>
      </w:pPr>
      <w:r w:rsidRPr="00854844">
        <w:t>Dự thảo Nghị quyết đảm bảo tính hợp hiến, hợp pháp và tính thống nhất trong hệ thống pháp luật; đảm bảo phù hợp với các văn bản quy phạm pháp luật có giá trị pháp lý cao hơn.</w:t>
      </w:r>
    </w:p>
    <w:p w14:paraId="78121F69" w14:textId="77777777" w:rsidR="007C037B" w:rsidRPr="00854844" w:rsidRDefault="007C037B" w:rsidP="001C72F5">
      <w:pPr>
        <w:spacing w:before="120" w:after="120" w:line="264" w:lineRule="auto"/>
        <w:ind w:firstLine="709"/>
        <w:jc w:val="both"/>
        <w:rPr>
          <w:b/>
        </w:rPr>
      </w:pPr>
      <w:r w:rsidRPr="00854844">
        <w:rPr>
          <w:b/>
        </w:rPr>
        <w:t xml:space="preserve">IV. Kiến nghị, đề xuất </w:t>
      </w:r>
    </w:p>
    <w:p w14:paraId="78121F6A" w14:textId="318790E8" w:rsidR="007C037B" w:rsidRPr="00854844" w:rsidRDefault="007C037B" w:rsidP="001C72F5">
      <w:pPr>
        <w:shd w:val="clear" w:color="auto" w:fill="FFFFFF"/>
        <w:spacing w:before="120" w:after="120" w:line="264" w:lineRule="auto"/>
        <w:ind w:firstLine="709"/>
        <w:jc w:val="both"/>
      </w:pPr>
      <w:r w:rsidRPr="00854844">
        <w:t>Trên cơ sở ý kiến thảo luận của các đại biểu tại phiên họp thẩm tra và các quy định của pháp luật có liên quan</w:t>
      </w:r>
      <w:r w:rsidR="00B66DDD" w:rsidRPr="00854844">
        <w:t>,</w:t>
      </w:r>
      <w:r w:rsidRPr="00854844">
        <w:t xml:space="preserve"> Ban Kinh tế - Ngân sách đề nghị Ủy ban nhân dân tỉnh giải trình, tiếp thu</w:t>
      </w:r>
      <w:r w:rsidR="00B66DDD" w:rsidRPr="00854844">
        <w:t xml:space="preserve"> </w:t>
      </w:r>
      <w:r w:rsidRPr="00854844">
        <w:t>một số nội dung sau:</w:t>
      </w:r>
    </w:p>
    <w:p w14:paraId="78121F6B" w14:textId="685F0AF4" w:rsidR="001D7021" w:rsidRPr="00854844" w:rsidRDefault="001D7021" w:rsidP="001C72F5">
      <w:pPr>
        <w:spacing w:before="120" w:after="120" w:line="264" w:lineRule="auto"/>
        <w:ind w:firstLine="709"/>
        <w:jc w:val="both"/>
      </w:pPr>
      <w:r w:rsidRPr="00854844">
        <w:t>1. Về nội dung dự thảo nghị quyết:</w:t>
      </w:r>
    </w:p>
    <w:p w14:paraId="708313F0" w14:textId="2C5BDDA2" w:rsidR="00F17088" w:rsidRDefault="00F17088" w:rsidP="001C72F5">
      <w:pPr>
        <w:spacing w:before="120" w:after="120" w:line="264" w:lineRule="auto"/>
        <w:ind w:firstLine="709"/>
        <w:jc w:val="both"/>
      </w:pPr>
      <w:r w:rsidRPr="00854844">
        <w:t xml:space="preserve">- Theo báo cáo của Ủy ban nhân dân tỉnh, do nguồn thu sử dụng đất và xổ số kiến thiết chưa đảm bảo nên cần điều chỉnh giảm một số dự án sử dụng 02 nguồn vốn trên. Đề nghị </w:t>
      </w:r>
      <w:r w:rsidR="001C72F5" w:rsidRPr="00854844">
        <w:t xml:space="preserve">Ủy ban nhân dân tỉnh </w:t>
      </w:r>
      <w:r w:rsidR="00347BFE" w:rsidRPr="00347BFE">
        <w:t>phân tích</w:t>
      </w:r>
      <w:r w:rsidRPr="00854844">
        <w:t xml:space="preserve"> làm rõ.  </w:t>
      </w:r>
    </w:p>
    <w:p w14:paraId="070D21AE" w14:textId="1C7DDAFB" w:rsidR="00977F88" w:rsidRDefault="00977F88" w:rsidP="001C72F5">
      <w:pPr>
        <w:shd w:val="clear" w:color="auto" w:fill="FFFFFF"/>
        <w:spacing w:before="120" w:after="120" w:line="264" w:lineRule="auto"/>
        <w:ind w:firstLine="709"/>
        <w:jc w:val="both"/>
      </w:pPr>
      <w:r w:rsidRPr="00854844">
        <w:lastRenderedPageBreak/>
        <w:t xml:space="preserve">- </w:t>
      </w:r>
      <w:r w:rsidR="00474322" w:rsidRPr="00347BFE">
        <w:t>Qua nghiên cứu hồ sơ, một</w:t>
      </w:r>
      <w:r w:rsidR="000676B7" w:rsidRPr="00854844">
        <w:t xml:space="preserve"> số dự án được </w:t>
      </w:r>
      <w:r w:rsidR="001C72F5" w:rsidRPr="00854844">
        <w:t xml:space="preserve">Ủy ban nhân dân tỉnh </w:t>
      </w:r>
      <w:r w:rsidR="000676B7" w:rsidRPr="00854844">
        <w:t>tỉnh xác định dừng triển khai thực hiện</w:t>
      </w:r>
      <w:r w:rsidR="00802B78" w:rsidRPr="00854844">
        <w:rPr>
          <w:vertAlign w:val="superscript"/>
        </w:rPr>
        <w:t>(</w:t>
      </w:r>
      <w:r w:rsidR="00802B78" w:rsidRPr="00854844">
        <w:rPr>
          <w:rStyle w:val="FootnoteReference"/>
        </w:rPr>
        <w:footnoteReference w:id="6"/>
      </w:r>
      <w:r w:rsidR="00802B78" w:rsidRPr="00854844">
        <w:rPr>
          <w:vertAlign w:val="superscript"/>
        </w:rPr>
        <w:t>)</w:t>
      </w:r>
      <w:r w:rsidR="000676B7" w:rsidRPr="00854844">
        <w:t>, không có khả năng thực hiện</w:t>
      </w:r>
      <w:r w:rsidR="00802B78" w:rsidRPr="00854844">
        <w:rPr>
          <w:vertAlign w:val="superscript"/>
        </w:rPr>
        <w:t>(</w:t>
      </w:r>
      <w:r w:rsidR="00802B78" w:rsidRPr="00854844">
        <w:rPr>
          <w:rStyle w:val="FootnoteReference"/>
          <w:lang w:val="en-US"/>
        </w:rPr>
        <w:footnoteReference w:id="7"/>
      </w:r>
      <w:r w:rsidR="00802B78" w:rsidRPr="00854844">
        <w:rPr>
          <w:vertAlign w:val="superscript"/>
        </w:rPr>
        <w:t>)</w:t>
      </w:r>
      <w:r w:rsidR="000676B7" w:rsidRPr="00854844">
        <w:t>, đề nghị báo cáo làm rõ nguyên nhân</w:t>
      </w:r>
      <w:r w:rsidR="00EC0BAC" w:rsidRPr="00347BFE">
        <w:t>.</w:t>
      </w:r>
    </w:p>
    <w:p w14:paraId="475F7EC0" w14:textId="62E16122" w:rsidR="00977F88" w:rsidRPr="00854844" w:rsidRDefault="00977F88" w:rsidP="001C72F5">
      <w:pPr>
        <w:shd w:val="clear" w:color="auto" w:fill="FFFFFF"/>
        <w:spacing w:before="120" w:after="120" w:line="264" w:lineRule="auto"/>
        <w:ind w:firstLine="709"/>
        <w:jc w:val="both"/>
      </w:pPr>
      <w:r w:rsidRPr="00854844">
        <w:t xml:space="preserve">- </w:t>
      </w:r>
      <w:r w:rsidR="002431C0" w:rsidRPr="00854844">
        <w:t>Đối với các</w:t>
      </w:r>
      <w:r w:rsidR="00802B78" w:rsidRPr="00854844">
        <w:t xml:space="preserve"> d</w:t>
      </w:r>
      <w:r w:rsidRPr="00854844">
        <w:t xml:space="preserve">ự án </w:t>
      </w:r>
      <w:r w:rsidR="002431C0" w:rsidRPr="00854844">
        <w:t>đầu tư được đề xuất bố trí bổ sung</w:t>
      </w:r>
      <w:r w:rsidR="00E1605F" w:rsidRPr="00347BFE">
        <w:t xml:space="preserve"> kế hoạch vốn đầu tư công giai đoạn 2016-2020</w:t>
      </w:r>
      <w:r w:rsidR="002431C0" w:rsidRPr="00854844">
        <w:t xml:space="preserve">, đề nghị </w:t>
      </w:r>
      <w:r w:rsidR="001C72F5" w:rsidRPr="00854844">
        <w:t xml:space="preserve">Ủy ban nhân dân tỉnh </w:t>
      </w:r>
      <w:r w:rsidR="002431C0" w:rsidRPr="00854844">
        <w:t>tỉnh chỉ đạo rà soát</w:t>
      </w:r>
      <w:r w:rsidR="00E1605F" w:rsidRPr="00347BFE">
        <w:t xml:space="preserve"> tiến độ thực hiện, hoàn thiện thủ tục, </w:t>
      </w:r>
      <w:r w:rsidR="002431C0" w:rsidRPr="00854844">
        <w:t>đ</w:t>
      </w:r>
      <w:r w:rsidRPr="00854844">
        <w:t>ảm bảo đầy đủ đi</w:t>
      </w:r>
      <w:r w:rsidR="00196530" w:rsidRPr="00854844">
        <w:t>ề</w:t>
      </w:r>
      <w:r w:rsidRPr="00854844">
        <w:t>u kiện</w:t>
      </w:r>
      <w:r w:rsidR="002431C0" w:rsidRPr="00854844">
        <w:t xml:space="preserve"> bố trí vốn theo</w:t>
      </w:r>
      <w:r w:rsidRPr="00854844">
        <w:t xml:space="preserve"> quy định</w:t>
      </w:r>
      <w:r w:rsidR="00DE7744" w:rsidRPr="00854844">
        <w:t>, nhất là trong giai đoạn chuyển tiếp; đồng thời</w:t>
      </w:r>
      <w:r w:rsidR="002431C0" w:rsidRPr="00854844">
        <w:t xml:space="preserve"> chỉ đạo </w:t>
      </w:r>
      <w:r w:rsidR="00754373" w:rsidRPr="00347BFE">
        <w:t xml:space="preserve">đẩy nhanh tiến độ </w:t>
      </w:r>
      <w:r w:rsidR="002431C0" w:rsidRPr="00854844">
        <w:t xml:space="preserve">thực hiện giải ngân vốn đầu tư </w:t>
      </w:r>
      <w:r w:rsidR="00BE4EEC" w:rsidRPr="00347BFE">
        <w:t xml:space="preserve">theo </w:t>
      </w:r>
      <w:r w:rsidR="00754373" w:rsidRPr="00347BFE">
        <w:t xml:space="preserve">chỉ đạo </w:t>
      </w:r>
      <w:r w:rsidR="002431C0" w:rsidRPr="00854844">
        <w:t>của Chính phủ</w:t>
      </w:r>
      <w:r w:rsidR="006F37E5" w:rsidRPr="00854844">
        <w:rPr>
          <w:vertAlign w:val="superscript"/>
        </w:rPr>
        <w:t>(</w:t>
      </w:r>
      <w:r w:rsidR="006F37E5" w:rsidRPr="00854844">
        <w:rPr>
          <w:rStyle w:val="FootnoteReference"/>
          <w:lang w:val="en-US"/>
        </w:rPr>
        <w:footnoteReference w:id="8"/>
      </w:r>
      <w:r w:rsidR="006F37E5" w:rsidRPr="00854844">
        <w:rPr>
          <w:vertAlign w:val="superscript"/>
        </w:rPr>
        <w:t>)</w:t>
      </w:r>
      <w:r w:rsidR="002431C0" w:rsidRPr="00854844">
        <w:t>.</w:t>
      </w:r>
    </w:p>
    <w:p w14:paraId="78121F6D" w14:textId="35CF9356" w:rsidR="00E97176" w:rsidRPr="00854844" w:rsidRDefault="001D7021" w:rsidP="001C72F5">
      <w:pPr>
        <w:widowControl w:val="0"/>
        <w:spacing w:before="120" w:after="120" w:line="264" w:lineRule="auto"/>
        <w:ind w:firstLine="709"/>
        <w:jc w:val="both"/>
        <w:rPr>
          <w:spacing w:val="-2"/>
        </w:rPr>
      </w:pPr>
      <w:r w:rsidRPr="00854844">
        <w:rPr>
          <w:spacing w:val="-2"/>
        </w:rPr>
        <w:t>2.</w:t>
      </w:r>
      <w:r w:rsidR="00E97176" w:rsidRPr="00854844">
        <w:rPr>
          <w:spacing w:val="-2"/>
        </w:rPr>
        <w:t xml:space="preserve"> Về thể thức</w:t>
      </w:r>
      <w:r w:rsidR="000531B6" w:rsidRPr="00854844">
        <w:rPr>
          <w:spacing w:val="-2"/>
        </w:rPr>
        <w:t xml:space="preserve">, kỹ thuật </w:t>
      </w:r>
      <w:r w:rsidR="00E97176" w:rsidRPr="00854844">
        <w:rPr>
          <w:spacing w:val="-2"/>
        </w:rPr>
        <w:t>trìn</w:t>
      </w:r>
      <w:r w:rsidRPr="00854844">
        <w:rPr>
          <w:spacing w:val="-2"/>
        </w:rPr>
        <w:t>h bày dự thảo nghị quyết</w:t>
      </w:r>
      <w:r w:rsidR="00E97176" w:rsidRPr="00854844">
        <w:rPr>
          <w:spacing w:val="-2"/>
        </w:rPr>
        <w:t>: Đề nghị cơ quan trình rà soát, thực hiện theo đúng quy định.</w:t>
      </w:r>
    </w:p>
    <w:p w14:paraId="78121F6E" w14:textId="7FA54087" w:rsidR="007C037B" w:rsidRPr="00854844" w:rsidRDefault="007C037B" w:rsidP="001C72F5">
      <w:pPr>
        <w:shd w:val="clear" w:color="auto" w:fill="FFFFFF"/>
        <w:spacing w:before="120" w:after="120" w:line="264" w:lineRule="auto"/>
        <w:ind w:firstLine="720"/>
        <w:jc w:val="both"/>
      </w:pPr>
      <w:r w:rsidRPr="00854844">
        <w:t>Trên đây là Báo cáo thẩm tra của Ban Kinh tế - Ngân sách</w:t>
      </w:r>
      <w:r w:rsidRPr="00854844">
        <w:rPr>
          <w:bCs/>
        </w:rPr>
        <w:t>.</w:t>
      </w:r>
      <w:r w:rsidRPr="00854844">
        <w:t xml:space="preserve"> Kính trình Hội đồng nhân dân tỉnh Khóa XI Kỳ họp </w:t>
      </w:r>
      <w:r w:rsidR="00A14706" w:rsidRPr="00854844">
        <w:t>chuyên đề</w:t>
      </w:r>
      <w:r w:rsidRPr="00854844">
        <w:t xml:space="preserve"> xem xét, quyết định./.</w:t>
      </w:r>
    </w:p>
    <w:tbl>
      <w:tblPr>
        <w:tblW w:w="5000" w:type="pct"/>
        <w:tblLook w:val="01E0" w:firstRow="1" w:lastRow="1" w:firstColumn="1" w:lastColumn="1" w:noHBand="0" w:noVBand="0"/>
      </w:tblPr>
      <w:tblGrid>
        <w:gridCol w:w="4447"/>
        <w:gridCol w:w="5124"/>
      </w:tblGrid>
      <w:tr w:rsidR="00854844" w:rsidRPr="00854844" w14:paraId="78121F7C" w14:textId="77777777" w:rsidTr="008E5C8D">
        <w:tc>
          <w:tcPr>
            <w:tcW w:w="2323" w:type="pct"/>
          </w:tcPr>
          <w:p w14:paraId="78121F6F" w14:textId="77777777" w:rsidR="007C037B" w:rsidRPr="00854844" w:rsidRDefault="007C037B" w:rsidP="008E5C8D">
            <w:pPr>
              <w:rPr>
                <w:b/>
                <w:i/>
                <w:sz w:val="24"/>
              </w:rPr>
            </w:pPr>
            <w:r w:rsidRPr="00854844">
              <w:rPr>
                <w:b/>
                <w:i/>
                <w:sz w:val="24"/>
              </w:rPr>
              <w:t>Nơi nhận:</w:t>
            </w:r>
          </w:p>
          <w:p w14:paraId="78121F70" w14:textId="77777777" w:rsidR="007C037B" w:rsidRPr="00854844" w:rsidRDefault="007C037B" w:rsidP="008E5C8D">
            <w:pPr>
              <w:rPr>
                <w:sz w:val="22"/>
              </w:rPr>
            </w:pPr>
            <w:r w:rsidRPr="00854844">
              <w:rPr>
                <w:sz w:val="22"/>
              </w:rPr>
              <w:t>- Thường trực HĐND tỉnh;</w:t>
            </w:r>
          </w:p>
          <w:p w14:paraId="78121F71" w14:textId="77777777" w:rsidR="007C037B" w:rsidRPr="00854844" w:rsidRDefault="007C037B" w:rsidP="008E5C8D">
            <w:pPr>
              <w:rPr>
                <w:sz w:val="22"/>
              </w:rPr>
            </w:pPr>
            <w:r w:rsidRPr="00854844">
              <w:rPr>
                <w:sz w:val="22"/>
              </w:rPr>
              <w:t xml:space="preserve">- UBND tỉnh; </w:t>
            </w:r>
            <w:r w:rsidRPr="00854844">
              <w:rPr>
                <w:sz w:val="22"/>
              </w:rPr>
              <w:tab/>
            </w:r>
          </w:p>
          <w:p w14:paraId="78121F72" w14:textId="77777777" w:rsidR="007C037B" w:rsidRPr="00854844" w:rsidRDefault="007C037B" w:rsidP="008E5C8D">
            <w:pPr>
              <w:rPr>
                <w:sz w:val="22"/>
              </w:rPr>
            </w:pPr>
            <w:r w:rsidRPr="00854844">
              <w:rPr>
                <w:sz w:val="22"/>
              </w:rPr>
              <w:t>- Đại biểu HĐND tỉnh;</w:t>
            </w:r>
          </w:p>
          <w:p w14:paraId="78121F73" w14:textId="77777777" w:rsidR="007C037B" w:rsidRPr="00854844" w:rsidRDefault="0034170F" w:rsidP="0034170F">
            <w:r w:rsidRPr="00854844">
              <w:rPr>
                <w:sz w:val="22"/>
              </w:rPr>
              <w:t xml:space="preserve">- Lưu: VT, </w:t>
            </w:r>
            <w:r w:rsidR="007C037B" w:rsidRPr="00854844">
              <w:rPr>
                <w:sz w:val="22"/>
              </w:rPr>
              <w:t>KT-NS</w:t>
            </w:r>
            <w:r w:rsidR="007C037B" w:rsidRPr="00854844">
              <w:rPr>
                <w:sz w:val="14"/>
              </w:rPr>
              <w:t>.</w:t>
            </w:r>
          </w:p>
        </w:tc>
        <w:tc>
          <w:tcPr>
            <w:tcW w:w="2677" w:type="pct"/>
          </w:tcPr>
          <w:p w14:paraId="78121F74" w14:textId="77777777" w:rsidR="007C037B" w:rsidRPr="00854844" w:rsidRDefault="007C037B" w:rsidP="008E5C8D">
            <w:pPr>
              <w:jc w:val="center"/>
              <w:rPr>
                <w:b/>
              </w:rPr>
            </w:pPr>
            <w:r w:rsidRPr="00854844">
              <w:rPr>
                <w:b/>
              </w:rPr>
              <w:t>TM. BAN KINH TẾ - NGÂN SÁCH</w:t>
            </w:r>
          </w:p>
          <w:p w14:paraId="78121F75" w14:textId="77777777" w:rsidR="007C037B" w:rsidRPr="00854844" w:rsidRDefault="007C037B" w:rsidP="008E5C8D">
            <w:pPr>
              <w:jc w:val="center"/>
              <w:rPr>
                <w:b/>
              </w:rPr>
            </w:pPr>
            <w:r w:rsidRPr="00854844">
              <w:rPr>
                <w:b/>
              </w:rPr>
              <w:t>TRƯỞNG BAN</w:t>
            </w:r>
          </w:p>
          <w:p w14:paraId="78121F7A" w14:textId="287F6378" w:rsidR="007C037B" w:rsidRPr="00854844" w:rsidRDefault="009D5C54" w:rsidP="008E5C8D">
            <w:pPr>
              <w:jc w:val="center"/>
              <w:rPr>
                <w:b/>
              </w:rPr>
            </w:pPr>
            <w:r>
              <w:rPr>
                <w:b/>
                <w:lang w:val="en-US"/>
              </w:rPr>
              <w:t>Đã ký</w:t>
            </w:r>
            <w:bookmarkStart w:id="2" w:name="_GoBack"/>
            <w:bookmarkEnd w:id="2"/>
          </w:p>
          <w:p w14:paraId="78121F7B" w14:textId="77777777" w:rsidR="007C037B" w:rsidRPr="00854844" w:rsidRDefault="007C037B" w:rsidP="008E5C8D">
            <w:pPr>
              <w:jc w:val="center"/>
              <w:rPr>
                <w:b/>
              </w:rPr>
            </w:pPr>
            <w:r w:rsidRPr="00854844">
              <w:rPr>
                <w:b/>
              </w:rPr>
              <w:t>Hồ Văn Đà</w:t>
            </w:r>
          </w:p>
        </w:tc>
      </w:tr>
    </w:tbl>
    <w:p w14:paraId="78121F7D" w14:textId="77777777" w:rsidR="007C037B" w:rsidRPr="00854844" w:rsidRDefault="007C037B" w:rsidP="007C037B">
      <w:pPr>
        <w:spacing w:before="120"/>
      </w:pPr>
    </w:p>
    <w:p w14:paraId="78121F7E" w14:textId="77777777" w:rsidR="008E5C8D" w:rsidRPr="00854844" w:rsidRDefault="008E5C8D"/>
    <w:sectPr w:rsidR="008E5C8D" w:rsidRPr="00854844" w:rsidSect="00E9118A">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7DCF3" w14:textId="77777777" w:rsidR="00A906CD" w:rsidRDefault="00A906CD" w:rsidP="007C037B">
      <w:r>
        <w:separator/>
      </w:r>
    </w:p>
  </w:endnote>
  <w:endnote w:type="continuationSeparator" w:id="0">
    <w:p w14:paraId="1175B303" w14:textId="77777777" w:rsidR="00A906CD" w:rsidRDefault="00A906CD"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82496" w14:textId="77777777" w:rsidR="00A906CD" w:rsidRDefault="00A906CD" w:rsidP="007C037B">
      <w:r>
        <w:separator/>
      </w:r>
    </w:p>
  </w:footnote>
  <w:footnote w:type="continuationSeparator" w:id="0">
    <w:p w14:paraId="1669F3FC" w14:textId="77777777" w:rsidR="00A906CD" w:rsidRDefault="00A906CD" w:rsidP="007C037B">
      <w:r>
        <w:continuationSeparator/>
      </w:r>
    </w:p>
  </w:footnote>
  <w:footnote w:id="1">
    <w:p w14:paraId="78121F8D" w14:textId="77777777" w:rsidR="00622416" w:rsidRPr="00854209" w:rsidRDefault="00622416" w:rsidP="001C72F5">
      <w:pPr>
        <w:pStyle w:val="FootnoteText"/>
        <w:spacing w:before="0"/>
        <w:jc w:val="both"/>
      </w:pPr>
      <w:r w:rsidRPr="00854209">
        <w:rPr>
          <w:vertAlign w:val="superscript"/>
        </w:rPr>
        <w:t>(</w:t>
      </w:r>
      <w:r w:rsidRPr="00854209">
        <w:rPr>
          <w:rStyle w:val="FootnoteReference"/>
        </w:rPr>
        <w:footnoteRef/>
      </w:r>
      <w:r w:rsidRPr="00854209">
        <w:rPr>
          <w:vertAlign w:val="superscript"/>
        </w:rPr>
        <w:t>)</w:t>
      </w:r>
      <w:r w:rsidRPr="00854209">
        <w:t xml:space="preserve"> Tại Nghị quyết số 69/2016/NQ-HĐND ngày 09 tháng 12 năm 2016, Nghị quyết số 34/2018/NQ-HĐND ngày 07 tháng 12 năm 2018 và giao bổ sung tại Nghị quyết số 36/NQ-HĐND ngày 24 tháng 9 năm 2019 của Hội đồng nhân dân tỉnh.</w:t>
      </w:r>
    </w:p>
  </w:footnote>
  <w:footnote w:id="2">
    <w:p w14:paraId="78121F8E" w14:textId="1436C489" w:rsidR="001809A7" w:rsidRPr="00C91B50" w:rsidRDefault="00854209" w:rsidP="001C72F5">
      <w:pPr>
        <w:pStyle w:val="FootnoteText"/>
        <w:spacing w:before="0"/>
        <w:jc w:val="both"/>
      </w:pPr>
      <w:r w:rsidRPr="00C91B50">
        <w:rPr>
          <w:vertAlign w:val="superscript"/>
        </w:rPr>
        <w:t>(</w:t>
      </w:r>
      <w:r w:rsidR="001809A7" w:rsidRPr="00854209">
        <w:rPr>
          <w:rStyle w:val="FootnoteReference"/>
        </w:rPr>
        <w:footnoteRef/>
      </w:r>
      <w:r w:rsidRPr="00C91B50">
        <w:rPr>
          <w:vertAlign w:val="superscript"/>
        </w:rPr>
        <w:t>)</w:t>
      </w:r>
      <w:r w:rsidR="001809A7" w:rsidRPr="00854209">
        <w:t xml:space="preserve"> </w:t>
      </w:r>
      <w:r w:rsidR="001809A7" w:rsidRPr="00C91B50">
        <w:t xml:space="preserve">Dự phòng từ nguồn thu để lại chưa đưa vào cân đối ngân sách </w:t>
      </w:r>
      <w:r w:rsidR="001256A7" w:rsidRPr="00C91B50">
        <w:t xml:space="preserve">địa phương </w:t>
      </w:r>
      <w:r w:rsidR="001809A7" w:rsidRPr="00C91B50">
        <w:t>là 7.135 triệu đồng.</w:t>
      </w:r>
    </w:p>
  </w:footnote>
  <w:footnote w:id="3">
    <w:p w14:paraId="46BA2C26" w14:textId="77777777" w:rsidR="006A08C8" w:rsidRDefault="006A08C8" w:rsidP="001C72F5">
      <w:pPr>
        <w:pStyle w:val="FootnoteText"/>
        <w:spacing w:before="0"/>
        <w:jc w:val="both"/>
      </w:pPr>
      <w:r>
        <w:rPr>
          <w:vertAlign w:val="superscript"/>
        </w:rPr>
        <w:t>(</w:t>
      </w:r>
      <w:r>
        <w:rPr>
          <w:rStyle w:val="FootnoteReference"/>
        </w:rPr>
        <w:footnoteRef/>
      </w:r>
      <w:r>
        <w:rPr>
          <w:vertAlign w:val="superscript"/>
        </w:rPr>
        <w:t>)</w:t>
      </w:r>
      <w:r>
        <w:t xml:space="preserve"> Dự án </w:t>
      </w:r>
      <w:r w:rsidRPr="006C020A">
        <w:t>Sân vườn, đường nội bộ, quảng trường thuộc Khu trung tâm hành chính mới của tỉnh; Dự án Mua sắm trang thiết bị y tế để nâng cấp Bệnh viện Đa khoa tỉnh từ bệnh viện hạng II lên bệnh viện hạng I quy mô 750 giường; Dự án Xây dựng điểm dân cư số 64 (Trung tâm hành chính xã VI) thuộc xã Ia Tơi để thực hiện Đề án di dân, bố trí, sắp xếp dân cư trên địa bàn huyện Ia H'Drai; …</w:t>
      </w:r>
    </w:p>
  </w:footnote>
  <w:footnote w:id="4">
    <w:p w14:paraId="7D7D9585" w14:textId="77777777" w:rsidR="006A08C8" w:rsidRDefault="006A08C8" w:rsidP="001C72F5">
      <w:pPr>
        <w:pStyle w:val="FootnoteText"/>
        <w:spacing w:before="0"/>
        <w:jc w:val="both"/>
      </w:pPr>
      <w:r>
        <w:rPr>
          <w:vertAlign w:val="superscript"/>
        </w:rPr>
        <w:t>(</w:t>
      </w:r>
      <w:r>
        <w:rPr>
          <w:rStyle w:val="FootnoteReference"/>
        </w:rPr>
        <w:footnoteRef/>
      </w:r>
      <w:r>
        <w:rPr>
          <w:vertAlign w:val="superscript"/>
        </w:rPr>
        <w:t>)</w:t>
      </w:r>
      <w:r>
        <w:t xml:space="preserve"> </w:t>
      </w:r>
      <w:r w:rsidRPr="006C020A">
        <w:t>Dự án đầu tư chỉnh trang đô thị, tạo quỹ đất để thực hiện quy hoạch Khu phức hợp đô thị tại Phường Quang Trung, thành phố Kon Tum, tỉnh Kon Tum; Dự án đầu tư chỉnh trang đô thị, tạo quỹ đất để thực hiện quy hoạch Khu du lịch - đô thị sinh thái nghỉ dưỡng kết hợp thể thao tại xã Đăk Rơ Wa, thành phố Kon Tum, tỉnh Kon Tum; Dự án đầu tư chỉnh trang đô thị, tạo quỹ đất để thực hiện quy hoạch Tổ hợp khách sạn, trung tâm thương mại, dịch vụ tại phường Thống Nhất, thành phố Kon Tum, tỉnh Kon Tum; Dự án Đầu tư xây dựng bể bơi tại các trường học trên địa bàn các huyện, thành phố; Dự án Chỉnh trang đô thị, tạo quỹ đất để thực hiện quy hoạch Khu công nghiệp, Cụm công nghiệp.</w:t>
      </w:r>
    </w:p>
  </w:footnote>
  <w:footnote w:id="5">
    <w:p w14:paraId="55DE02A1" w14:textId="77777777" w:rsidR="006A08C8" w:rsidRDefault="006A08C8" w:rsidP="001C72F5">
      <w:pPr>
        <w:pStyle w:val="FootnoteText"/>
        <w:spacing w:before="0"/>
        <w:jc w:val="both"/>
      </w:pPr>
      <w:r>
        <w:rPr>
          <w:vertAlign w:val="superscript"/>
        </w:rPr>
        <w:t>(</w:t>
      </w:r>
      <w:r>
        <w:rPr>
          <w:rStyle w:val="FootnoteReference"/>
        </w:rPr>
        <w:footnoteRef/>
      </w:r>
      <w:r>
        <w:rPr>
          <w:vertAlign w:val="superscript"/>
        </w:rPr>
        <w:t>)</w:t>
      </w:r>
      <w:r>
        <w:t xml:space="preserve"> Dự án </w:t>
      </w:r>
      <w:r w:rsidRPr="00FD0EF7">
        <w:t>Cải tạo, sửa chữa và chỉnh trang Hội trường Ngọc Linh</w:t>
      </w:r>
      <w:r>
        <w:t>.</w:t>
      </w:r>
    </w:p>
  </w:footnote>
  <w:footnote w:id="6">
    <w:p w14:paraId="525C4CE7" w14:textId="0E7731BD" w:rsidR="00802B78" w:rsidRPr="00C91B50" w:rsidRDefault="00802B78" w:rsidP="001C72F5">
      <w:pPr>
        <w:pStyle w:val="FootnoteText"/>
        <w:spacing w:before="0"/>
        <w:jc w:val="both"/>
      </w:pPr>
      <w:r>
        <w:rPr>
          <w:rStyle w:val="FootnoteReference"/>
        </w:rPr>
        <w:footnoteRef/>
      </w:r>
      <w:r>
        <w:t xml:space="preserve"> </w:t>
      </w:r>
      <w:r w:rsidRPr="00C91B50">
        <w:t xml:space="preserve">Dự án </w:t>
      </w:r>
      <w:r w:rsidRPr="00802B78">
        <w:t>Đầu tư xây dựng bể bơi tại các trường học trên địa bàn các huyện, thành phố</w:t>
      </w:r>
      <w:r w:rsidRPr="00C91B50">
        <w:t>; Dự án Chỉnh trang đô thị, tạo quỹ đất để thực hiện quy hoạch Khu công nghiệp, Cụm công nghiệp.</w:t>
      </w:r>
    </w:p>
  </w:footnote>
  <w:footnote w:id="7">
    <w:p w14:paraId="2AA41E46" w14:textId="12D9EB36" w:rsidR="00802B78" w:rsidRPr="00C91B50" w:rsidRDefault="00802B78" w:rsidP="001C72F5">
      <w:pPr>
        <w:pStyle w:val="FootnoteText"/>
        <w:spacing w:before="0"/>
        <w:jc w:val="both"/>
      </w:pPr>
      <w:r>
        <w:rPr>
          <w:rStyle w:val="FootnoteReference"/>
        </w:rPr>
        <w:footnoteRef/>
      </w:r>
      <w:r>
        <w:t xml:space="preserve"> </w:t>
      </w:r>
      <w:r w:rsidRPr="00802B78">
        <w:t>Dự án đầu tư chỉnh trang đô thị, tạo quỹ đất để thực hiện quy hoạch Khu phức hợp đô thị tại Phường Quang Trung, thành phố Kon Tum, tỉnh Kon Tum</w:t>
      </w:r>
      <w:r w:rsidRPr="00C91B50">
        <w:t>; Dự án đầu tư chỉnh trang đô thị, tạo quỹ đất để thực hiện quy hoạch Khu du lịch - đô thị sinh thái nghỉ dưỡng kết hợp thể thao tại xã Đăk Rơ Wa, thành phố Kon Tum, tỉnh Kon Tum; Dự án đầu tư chỉnh trang đô thị, tạo quỹ đất để thực hiện quy hoạch Tổ hợp khách sạn, trung tâm thương mại, dịch vụ tại phường Thống Nhất, thành phố Kon Tum, tỉnh Kon Tum.</w:t>
      </w:r>
    </w:p>
  </w:footnote>
  <w:footnote w:id="8">
    <w:p w14:paraId="315A25DA" w14:textId="4B3E1549" w:rsidR="006F37E5" w:rsidRPr="00C91B50" w:rsidRDefault="006F37E5" w:rsidP="001C72F5">
      <w:pPr>
        <w:pStyle w:val="FootnoteText"/>
        <w:spacing w:before="0"/>
        <w:jc w:val="both"/>
      </w:pPr>
      <w:r>
        <w:rPr>
          <w:rStyle w:val="FootnoteReference"/>
        </w:rPr>
        <w:footnoteRef/>
      </w:r>
      <w:r>
        <w:t xml:space="preserve"> </w:t>
      </w:r>
      <w:r w:rsidRPr="00C91B50">
        <w:t>Nghị quyết số 84/NQ-CP ngày 29/5/2020 của Chính phủ về các nhiệm vụ, giải pháp tiếp tục tháo gỡ khó khăn cho sản xuất kinh doanh, thúc đẩy giải ngân vốn đầu tư công và bảo đảm trật tự an toàn xã hội trong bối cảnh đại dịch Covid-19; Thông báo số 242/TB-VPCP ngày 18/7/2020 và Thông báo số 310/TB-VPCP ngày 27/8/2020 của Văn phòng Chính phủ về kết luận của Thủ tướng Chính phủ nhằm đôn đốc đẩy mạnh giải ngân vốn đầu tư công năm 2020</w:t>
      </w:r>
      <w:r w:rsidR="00474322" w:rsidRPr="00347B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21F8B" w14:textId="5757FAF9" w:rsidR="008E5C8D" w:rsidRDefault="008E5C8D">
    <w:pPr>
      <w:pStyle w:val="Header"/>
      <w:jc w:val="center"/>
    </w:pPr>
    <w:r>
      <w:rPr>
        <w:noProof w:val="0"/>
      </w:rPr>
      <w:fldChar w:fldCharType="begin"/>
    </w:r>
    <w:r>
      <w:instrText xml:space="preserve"> PAGE   \* MERGEFORMAT </w:instrText>
    </w:r>
    <w:r>
      <w:rPr>
        <w:noProof w:val="0"/>
      </w:rPr>
      <w:fldChar w:fldCharType="separate"/>
    </w:r>
    <w:r w:rsidR="009D5C54">
      <w:t>4</w:t>
    </w:r>
    <w:r>
      <w:fldChar w:fldCharType="end"/>
    </w:r>
  </w:p>
  <w:p w14:paraId="78121F8C" w14:textId="77777777"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1BB3"/>
    <w:rsid w:val="0000456D"/>
    <w:rsid w:val="00017C3E"/>
    <w:rsid w:val="000236C1"/>
    <w:rsid w:val="00030D1E"/>
    <w:rsid w:val="000531B6"/>
    <w:rsid w:val="000560AF"/>
    <w:rsid w:val="000676B7"/>
    <w:rsid w:val="0007313E"/>
    <w:rsid w:val="000856AF"/>
    <w:rsid w:val="000877D6"/>
    <w:rsid w:val="000A35D9"/>
    <w:rsid w:val="000C2E67"/>
    <w:rsid w:val="000D58E8"/>
    <w:rsid w:val="000E04BD"/>
    <w:rsid w:val="000F2905"/>
    <w:rsid w:val="00112881"/>
    <w:rsid w:val="001154DE"/>
    <w:rsid w:val="001256A7"/>
    <w:rsid w:val="00125F2B"/>
    <w:rsid w:val="00142A17"/>
    <w:rsid w:val="00147185"/>
    <w:rsid w:val="00150345"/>
    <w:rsid w:val="001503C7"/>
    <w:rsid w:val="001562F7"/>
    <w:rsid w:val="001671ED"/>
    <w:rsid w:val="001703B6"/>
    <w:rsid w:val="001725C6"/>
    <w:rsid w:val="001809A7"/>
    <w:rsid w:val="00196530"/>
    <w:rsid w:val="001A2F8F"/>
    <w:rsid w:val="001B6190"/>
    <w:rsid w:val="001C72F5"/>
    <w:rsid w:val="001D446F"/>
    <w:rsid w:val="001D7021"/>
    <w:rsid w:val="001E46C8"/>
    <w:rsid w:val="001F3112"/>
    <w:rsid w:val="00201BBA"/>
    <w:rsid w:val="00240ACC"/>
    <w:rsid w:val="00242386"/>
    <w:rsid w:val="002431C0"/>
    <w:rsid w:val="002479D2"/>
    <w:rsid w:val="00281692"/>
    <w:rsid w:val="002829B2"/>
    <w:rsid w:val="00293B58"/>
    <w:rsid w:val="002A4BBE"/>
    <w:rsid w:val="002C70F8"/>
    <w:rsid w:val="002D03C8"/>
    <w:rsid w:val="002D4899"/>
    <w:rsid w:val="002F60AB"/>
    <w:rsid w:val="00313A72"/>
    <w:rsid w:val="003158CD"/>
    <w:rsid w:val="00320AEC"/>
    <w:rsid w:val="0034170F"/>
    <w:rsid w:val="00347BFE"/>
    <w:rsid w:val="00351123"/>
    <w:rsid w:val="003B49B4"/>
    <w:rsid w:val="003B763D"/>
    <w:rsid w:val="003C07B5"/>
    <w:rsid w:val="003C0D3D"/>
    <w:rsid w:val="003C6010"/>
    <w:rsid w:val="003E5C6B"/>
    <w:rsid w:val="00400AA9"/>
    <w:rsid w:val="00422437"/>
    <w:rsid w:val="00422DDC"/>
    <w:rsid w:val="00447F1E"/>
    <w:rsid w:val="00453A0C"/>
    <w:rsid w:val="00455A0C"/>
    <w:rsid w:val="0046154B"/>
    <w:rsid w:val="00474322"/>
    <w:rsid w:val="004816A5"/>
    <w:rsid w:val="004B42A5"/>
    <w:rsid w:val="004C0698"/>
    <w:rsid w:val="004E4773"/>
    <w:rsid w:val="004F53CA"/>
    <w:rsid w:val="00504021"/>
    <w:rsid w:val="00516E74"/>
    <w:rsid w:val="00521251"/>
    <w:rsid w:val="00521907"/>
    <w:rsid w:val="005336D0"/>
    <w:rsid w:val="00555D60"/>
    <w:rsid w:val="00556C17"/>
    <w:rsid w:val="005709A6"/>
    <w:rsid w:val="005825F6"/>
    <w:rsid w:val="005A26FF"/>
    <w:rsid w:val="005C319F"/>
    <w:rsid w:val="005D6B13"/>
    <w:rsid w:val="005F0BD9"/>
    <w:rsid w:val="005F0DF3"/>
    <w:rsid w:val="005F151E"/>
    <w:rsid w:val="00605581"/>
    <w:rsid w:val="00616DFF"/>
    <w:rsid w:val="00622416"/>
    <w:rsid w:val="00643472"/>
    <w:rsid w:val="00663568"/>
    <w:rsid w:val="00666878"/>
    <w:rsid w:val="00671A56"/>
    <w:rsid w:val="006931C1"/>
    <w:rsid w:val="006A08C8"/>
    <w:rsid w:val="006B1F3C"/>
    <w:rsid w:val="006B2E11"/>
    <w:rsid w:val="006B396A"/>
    <w:rsid w:val="006B681A"/>
    <w:rsid w:val="006C2654"/>
    <w:rsid w:val="006D2E52"/>
    <w:rsid w:val="006F0F72"/>
    <w:rsid w:val="006F26CE"/>
    <w:rsid w:val="006F37E5"/>
    <w:rsid w:val="00705B25"/>
    <w:rsid w:val="0070770F"/>
    <w:rsid w:val="007162F0"/>
    <w:rsid w:val="00720D6B"/>
    <w:rsid w:val="007440D5"/>
    <w:rsid w:val="00754373"/>
    <w:rsid w:val="0076202A"/>
    <w:rsid w:val="007627F6"/>
    <w:rsid w:val="00777326"/>
    <w:rsid w:val="00782B2A"/>
    <w:rsid w:val="00790191"/>
    <w:rsid w:val="00794175"/>
    <w:rsid w:val="00797875"/>
    <w:rsid w:val="007B1D66"/>
    <w:rsid w:val="007B2643"/>
    <w:rsid w:val="007B2F91"/>
    <w:rsid w:val="007C037B"/>
    <w:rsid w:val="007C0A9A"/>
    <w:rsid w:val="007C2D4E"/>
    <w:rsid w:val="007E07A0"/>
    <w:rsid w:val="007F69BA"/>
    <w:rsid w:val="00802B78"/>
    <w:rsid w:val="00802F7C"/>
    <w:rsid w:val="00806A1B"/>
    <w:rsid w:val="0082495F"/>
    <w:rsid w:val="00843D97"/>
    <w:rsid w:val="00846983"/>
    <w:rsid w:val="0085071B"/>
    <w:rsid w:val="00854209"/>
    <w:rsid w:val="00854844"/>
    <w:rsid w:val="00860A7C"/>
    <w:rsid w:val="00874EC1"/>
    <w:rsid w:val="00886191"/>
    <w:rsid w:val="008C138A"/>
    <w:rsid w:val="008C482C"/>
    <w:rsid w:val="008D159D"/>
    <w:rsid w:val="008E5C8D"/>
    <w:rsid w:val="008F2DDA"/>
    <w:rsid w:val="008F3A4F"/>
    <w:rsid w:val="00904023"/>
    <w:rsid w:val="00907DD4"/>
    <w:rsid w:val="00914168"/>
    <w:rsid w:val="00937F65"/>
    <w:rsid w:val="00942FC4"/>
    <w:rsid w:val="00951030"/>
    <w:rsid w:val="0096189F"/>
    <w:rsid w:val="009722EB"/>
    <w:rsid w:val="00972C89"/>
    <w:rsid w:val="00977F88"/>
    <w:rsid w:val="009836FB"/>
    <w:rsid w:val="00985E69"/>
    <w:rsid w:val="009A6A38"/>
    <w:rsid w:val="009A7C5E"/>
    <w:rsid w:val="009B6266"/>
    <w:rsid w:val="009D50AB"/>
    <w:rsid w:val="009D5C54"/>
    <w:rsid w:val="009D5D5B"/>
    <w:rsid w:val="00A0328C"/>
    <w:rsid w:val="00A14706"/>
    <w:rsid w:val="00A64753"/>
    <w:rsid w:val="00A841A5"/>
    <w:rsid w:val="00A8628F"/>
    <w:rsid w:val="00A906CD"/>
    <w:rsid w:val="00AB7F54"/>
    <w:rsid w:val="00AD0277"/>
    <w:rsid w:val="00AD492C"/>
    <w:rsid w:val="00AD6A4B"/>
    <w:rsid w:val="00AE161F"/>
    <w:rsid w:val="00AE484C"/>
    <w:rsid w:val="00B06766"/>
    <w:rsid w:val="00B06E7F"/>
    <w:rsid w:val="00B12211"/>
    <w:rsid w:val="00B211AC"/>
    <w:rsid w:val="00B2406A"/>
    <w:rsid w:val="00B52354"/>
    <w:rsid w:val="00B66DDD"/>
    <w:rsid w:val="00B8370F"/>
    <w:rsid w:val="00B84767"/>
    <w:rsid w:val="00B850C9"/>
    <w:rsid w:val="00B95768"/>
    <w:rsid w:val="00B963E3"/>
    <w:rsid w:val="00BA0ECA"/>
    <w:rsid w:val="00BA4397"/>
    <w:rsid w:val="00BC5977"/>
    <w:rsid w:val="00BC65F2"/>
    <w:rsid w:val="00BE4EEC"/>
    <w:rsid w:val="00BE78D5"/>
    <w:rsid w:val="00BF4F1F"/>
    <w:rsid w:val="00BF6017"/>
    <w:rsid w:val="00C1104D"/>
    <w:rsid w:val="00C1601C"/>
    <w:rsid w:val="00C412F5"/>
    <w:rsid w:val="00C4266C"/>
    <w:rsid w:val="00C46906"/>
    <w:rsid w:val="00C55581"/>
    <w:rsid w:val="00C86E3E"/>
    <w:rsid w:val="00C91B50"/>
    <w:rsid w:val="00CA2BF4"/>
    <w:rsid w:val="00CA4335"/>
    <w:rsid w:val="00CB18D9"/>
    <w:rsid w:val="00CE4E96"/>
    <w:rsid w:val="00CF0589"/>
    <w:rsid w:val="00D003AA"/>
    <w:rsid w:val="00D147EA"/>
    <w:rsid w:val="00D174A4"/>
    <w:rsid w:val="00D36BC1"/>
    <w:rsid w:val="00D377B2"/>
    <w:rsid w:val="00D41E03"/>
    <w:rsid w:val="00D4756E"/>
    <w:rsid w:val="00D775F5"/>
    <w:rsid w:val="00DA3EF4"/>
    <w:rsid w:val="00DB7779"/>
    <w:rsid w:val="00DD62AE"/>
    <w:rsid w:val="00DE7744"/>
    <w:rsid w:val="00DF7765"/>
    <w:rsid w:val="00E02BA4"/>
    <w:rsid w:val="00E03D69"/>
    <w:rsid w:val="00E12997"/>
    <w:rsid w:val="00E13E7E"/>
    <w:rsid w:val="00E1605F"/>
    <w:rsid w:val="00E17395"/>
    <w:rsid w:val="00E230B2"/>
    <w:rsid w:val="00E3235B"/>
    <w:rsid w:val="00E420C6"/>
    <w:rsid w:val="00E56C9E"/>
    <w:rsid w:val="00E65C07"/>
    <w:rsid w:val="00E6760A"/>
    <w:rsid w:val="00E8475E"/>
    <w:rsid w:val="00E854CD"/>
    <w:rsid w:val="00E9118A"/>
    <w:rsid w:val="00E97176"/>
    <w:rsid w:val="00EA743A"/>
    <w:rsid w:val="00EB214D"/>
    <w:rsid w:val="00EC0BAC"/>
    <w:rsid w:val="00ED6D79"/>
    <w:rsid w:val="00EE609A"/>
    <w:rsid w:val="00EE7560"/>
    <w:rsid w:val="00EE76A4"/>
    <w:rsid w:val="00EE7BDF"/>
    <w:rsid w:val="00EF47E6"/>
    <w:rsid w:val="00EF4C93"/>
    <w:rsid w:val="00EF597A"/>
    <w:rsid w:val="00F12719"/>
    <w:rsid w:val="00F17088"/>
    <w:rsid w:val="00F205EF"/>
    <w:rsid w:val="00F212D8"/>
    <w:rsid w:val="00F41FA3"/>
    <w:rsid w:val="00F46971"/>
    <w:rsid w:val="00F53883"/>
    <w:rsid w:val="00F70CDB"/>
    <w:rsid w:val="00F75F79"/>
    <w:rsid w:val="00F86784"/>
    <w:rsid w:val="00F9022C"/>
    <w:rsid w:val="00FB754C"/>
    <w:rsid w:val="00FC5553"/>
    <w:rsid w:val="00FE04C1"/>
    <w:rsid w:val="00FE58E6"/>
    <w:rsid w:val="00FE59A5"/>
    <w:rsid w:val="00FF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7C037B"/>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1D7021"/>
    <w:rPr>
      <w:rFonts w:ascii="Tahoma" w:hAnsi="Tahoma" w:cs="Tahoma"/>
      <w:sz w:val="16"/>
      <w:szCs w:val="16"/>
    </w:rPr>
  </w:style>
  <w:style w:type="character" w:customStyle="1" w:styleId="BalloonTextChar">
    <w:name w:val="Balloon Text Char"/>
    <w:basedOn w:val="DefaultParagraphFont"/>
    <w:link w:val="BalloonText"/>
    <w:uiPriority w:val="99"/>
    <w:semiHidden/>
    <w:rsid w:val="001D7021"/>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7C037B"/>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1D7021"/>
    <w:rPr>
      <w:rFonts w:ascii="Tahoma" w:hAnsi="Tahoma" w:cs="Tahoma"/>
      <w:sz w:val="16"/>
      <w:szCs w:val="16"/>
    </w:rPr>
  </w:style>
  <w:style w:type="character" w:customStyle="1" w:styleId="BalloonTextChar">
    <w:name w:val="Balloon Text Char"/>
    <w:basedOn w:val="DefaultParagraphFont"/>
    <w:link w:val="BalloonText"/>
    <w:uiPriority w:val="99"/>
    <w:semiHidden/>
    <w:rsid w:val="001D7021"/>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2020-10-20T03:05:00Z</cp:lastPrinted>
  <dcterms:created xsi:type="dcterms:W3CDTF">2020-10-22T06:28:00Z</dcterms:created>
  <dcterms:modified xsi:type="dcterms:W3CDTF">2020-10-22T09:20:00Z</dcterms:modified>
</cp:coreProperties>
</file>