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5974"/>
      </w:tblGrid>
      <w:tr w:rsidR="002A2E9C" w:rsidRPr="002A2E9C" w14:paraId="25B3EE1B" w14:textId="77777777" w:rsidTr="0026695B">
        <w:trPr>
          <w:trHeight w:hRule="exact" w:val="709"/>
        </w:trPr>
        <w:tc>
          <w:tcPr>
            <w:tcW w:w="1879" w:type="pct"/>
            <w:tcBorders>
              <w:top w:val="nil"/>
              <w:left w:val="nil"/>
              <w:bottom w:val="nil"/>
              <w:right w:val="nil"/>
            </w:tcBorders>
            <w:hideMark/>
          </w:tcPr>
          <w:p w14:paraId="08CC0687" w14:textId="77777777" w:rsidR="00C37FE6" w:rsidRPr="002A2E9C" w:rsidRDefault="00C37FE6" w:rsidP="00AF2F70">
            <w:pPr>
              <w:pStyle w:val="Heading3"/>
              <w:spacing w:before="0"/>
              <w:rPr>
                <w:rFonts w:asciiTheme="majorHAnsi" w:hAnsiTheme="majorHAnsi" w:cstheme="majorHAnsi"/>
                <w:color w:val="auto"/>
                <w:lang w:eastAsia="en-US"/>
              </w:rPr>
            </w:pPr>
            <w:r w:rsidRPr="002A2E9C">
              <w:rPr>
                <w:rFonts w:asciiTheme="majorHAnsi" w:hAnsiTheme="majorHAnsi" w:cstheme="majorHAnsi"/>
                <w:color w:val="auto"/>
                <w:lang w:eastAsia="en-US"/>
              </w:rPr>
              <w:t>HỘI ĐỒNG NHÂN DÂN</w:t>
            </w:r>
          </w:p>
          <w:p w14:paraId="16230F2F" w14:textId="77777777" w:rsidR="00C37FE6" w:rsidRPr="002A2E9C" w:rsidRDefault="00C37FE6" w:rsidP="00AF2F70">
            <w:pPr>
              <w:jc w:val="center"/>
              <w:rPr>
                <w:rFonts w:asciiTheme="majorHAnsi" w:hAnsiTheme="majorHAnsi" w:cstheme="majorHAnsi"/>
                <w:b/>
                <w:sz w:val="26"/>
              </w:rPr>
            </w:pPr>
            <w:r w:rsidRPr="002A2E9C">
              <w:rPr>
                <w:rFonts w:asciiTheme="majorHAnsi" w:hAnsiTheme="majorHAnsi" w:cstheme="majorHAnsi"/>
                <w:lang w:eastAsia="vi-VN"/>
              </w:rPr>
              <mc:AlternateContent>
                <mc:Choice Requires="wps">
                  <w:drawing>
                    <wp:anchor distT="4294967295" distB="4294967295" distL="114300" distR="114300" simplePos="0" relativeHeight="251659264" behindDoc="0" locked="0" layoutInCell="1" allowOverlap="1" wp14:anchorId="7049B800" wp14:editId="5724BD14">
                      <wp:simplePos x="0" y="0"/>
                      <wp:positionH relativeFrom="column">
                        <wp:align>center</wp:align>
                      </wp:positionH>
                      <wp:positionV relativeFrom="paragraph">
                        <wp:posOffset>219075</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537C5F" id="Straight Connector 4"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Pr="002A2E9C">
              <w:rPr>
                <w:rFonts w:asciiTheme="majorHAnsi" w:hAnsiTheme="majorHAnsi" w:cstheme="majorHAnsi"/>
                <w:b/>
                <w:sz w:val="26"/>
              </w:rPr>
              <w:t>TỈNH KON TUM</w:t>
            </w:r>
          </w:p>
        </w:tc>
        <w:tc>
          <w:tcPr>
            <w:tcW w:w="3121" w:type="pct"/>
            <w:tcBorders>
              <w:top w:val="nil"/>
              <w:left w:val="nil"/>
              <w:bottom w:val="nil"/>
              <w:right w:val="nil"/>
            </w:tcBorders>
            <w:hideMark/>
          </w:tcPr>
          <w:p w14:paraId="5A0A4302" w14:textId="77777777" w:rsidR="00C37FE6" w:rsidRPr="002A2E9C" w:rsidRDefault="00C37FE6" w:rsidP="00AF2F70">
            <w:pPr>
              <w:jc w:val="center"/>
              <w:rPr>
                <w:rFonts w:asciiTheme="majorHAnsi" w:hAnsiTheme="majorHAnsi" w:cstheme="majorHAnsi"/>
                <w:b/>
                <w:sz w:val="26"/>
              </w:rPr>
            </w:pPr>
            <w:r w:rsidRPr="002A2E9C">
              <w:rPr>
                <w:rFonts w:asciiTheme="majorHAnsi" w:hAnsiTheme="majorHAnsi" w:cstheme="majorHAnsi"/>
                <w:b/>
                <w:sz w:val="26"/>
              </w:rPr>
              <w:t>CỘNG HÒA XÃ HỘI CHỦ NGHĨA VIỆT NAM</w:t>
            </w:r>
          </w:p>
          <w:p w14:paraId="56B981C3" w14:textId="77777777" w:rsidR="00C37FE6" w:rsidRPr="002A2E9C" w:rsidRDefault="00C37FE6" w:rsidP="00AF2F70">
            <w:pPr>
              <w:jc w:val="center"/>
              <w:rPr>
                <w:rFonts w:asciiTheme="majorHAnsi" w:hAnsiTheme="majorHAnsi" w:cstheme="majorHAnsi"/>
                <w:b/>
              </w:rPr>
            </w:pPr>
            <w:r w:rsidRPr="002A2E9C">
              <w:rPr>
                <w:rFonts w:asciiTheme="majorHAnsi" w:hAnsiTheme="majorHAnsi" w:cstheme="majorHAnsi"/>
                <w:lang w:eastAsia="vi-VN"/>
              </w:rPr>
              <mc:AlternateContent>
                <mc:Choice Requires="wps">
                  <w:drawing>
                    <wp:anchor distT="4294967295" distB="4294967295" distL="114300" distR="114300" simplePos="0" relativeHeight="251660288" behindDoc="0" locked="0" layoutInCell="1" allowOverlap="1" wp14:anchorId="1E28F052" wp14:editId="7ADA16E7">
                      <wp:simplePos x="0" y="0"/>
                      <wp:positionH relativeFrom="column">
                        <wp:posOffset>706367</wp:posOffset>
                      </wp:positionH>
                      <wp:positionV relativeFrom="paragraph">
                        <wp:posOffset>230076</wp:posOffset>
                      </wp:positionV>
                      <wp:extent cx="2078182" cy="0"/>
                      <wp:effectExtent l="0" t="0" r="368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182"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A810A7"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6pt,18.1pt" to="219.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97+HQ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" strokecolor="#002060"/>
                  </w:pict>
                </mc:Fallback>
              </mc:AlternateContent>
            </w:r>
            <w:r w:rsidRPr="002A2E9C">
              <w:rPr>
                <w:rFonts w:asciiTheme="majorHAnsi" w:hAnsiTheme="majorHAnsi" w:cstheme="majorHAnsi"/>
                <w:b/>
              </w:rPr>
              <w:t>Độc lập - Tự do - Hạnh phúc</w:t>
            </w:r>
          </w:p>
        </w:tc>
      </w:tr>
      <w:tr w:rsidR="002A2E9C" w:rsidRPr="002A2E9C" w14:paraId="151845BF" w14:textId="77777777" w:rsidTr="00DB4D04">
        <w:trPr>
          <w:trHeight w:hRule="exact" w:val="562"/>
        </w:trPr>
        <w:tc>
          <w:tcPr>
            <w:tcW w:w="1879" w:type="pct"/>
            <w:tcBorders>
              <w:top w:val="nil"/>
              <w:left w:val="nil"/>
              <w:bottom w:val="nil"/>
              <w:right w:val="nil"/>
            </w:tcBorders>
            <w:hideMark/>
          </w:tcPr>
          <w:p w14:paraId="02C25A9A" w14:textId="3C8FF14A" w:rsidR="00C37FE6" w:rsidRPr="002A2E9C" w:rsidRDefault="00C37FE6" w:rsidP="0079565B">
            <w:pPr>
              <w:jc w:val="center"/>
              <w:rPr>
                <w:rFonts w:asciiTheme="majorHAnsi" w:hAnsiTheme="majorHAnsi" w:cstheme="majorHAnsi"/>
              </w:rPr>
            </w:pPr>
            <w:r w:rsidRPr="002A2E9C">
              <w:rPr>
                <w:rFonts w:asciiTheme="majorHAnsi" w:hAnsiTheme="majorHAnsi" w:cstheme="majorHAnsi"/>
              </w:rPr>
              <w:t>Số:</w:t>
            </w:r>
            <w:r w:rsidR="006C389C" w:rsidRPr="002A2E9C">
              <w:rPr>
                <w:rFonts w:asciiTheme="majorHAnsi" w:hAnsiTheme="majorHAnsi" w:cstheme="majorHAnsi"/>
                <w:lang w:val="en-US"/>
              </w:rPr>
              <w:t xml:space="preserve"> </w:t>
            </w:r>
            <w:r w:rsidR="0079565B">
              <w:rPr>
                <w:rFonts w:asciiTheme="majorHAnsi" w:hAnsiTheme="majorHAnsi" w:cstheme="majorHAnsi"/>
                <w:lang w:val="en-US"/>
              </w:rPr>
              <w:t xml:space="preserve">112 </w:t>
            </w:r>
            <w:r w:rsidRPr="002A2E9C">
              <w:rPr>
                <w:rFonts w:asciiTheme="majorHAnsi" w:hAnsiTheme="majorHAnsi" w:cstheme="majorHAnsi"/>
              </w:rPr>
              <w:t>/BC-HĐND</w:t>
            </w:r>
          </w:p>
        </w:tc>
        <w:tc>
          <w:tcPr>
            <w:tcW w:w="3121" w:type="pct"/>
            <w:tcBorders>
              <w:top w:val="nil"/>
              <w:left w:val="nil"/>
              <w:bottom w:val="nil"/>
              <w:right w:val="nil"/>
            </w:tcBorders>
            <w:hideMark/>
          </w:tcPr>
          <w:p w14:paraId="751A82C9" w14:textId="30057454" w:rsidR="00C37FE6" w:rsidRPr="0079565B" w:rsidRDefault="00C37FE6" w:rsidP="0079565B">
            <w:pPr>
              <w:jc w:val="center"/>
              <w:rPr>
                <w:rFonts w:asciiTheme="majorHAnsi" w:hAnsiTheme="majorHAnsi" w:cstheme="majorHAnsi"/>
                <w:i/>
                <w:lang w:val="en-US"/>
              </w:rPr>
            </w:pPr>
            <w:r w:rsidRPr="002A2E9C">
              <w:rPr>
                <w:rFonts w:asciiTheme="majorHAnsi" w:hAnsiTheme="majorHAnsi" w:cstheme="majorHAnsi"/>
                <w:i/>
              </w:rPr>
              <w:t xml:space="preserve">Kon Tum, ngày </w:t>
            </w:r>
            <w:r w:rsidR="0079565B">
              <w:rPr>
                <w:rFonts w:asciiTheme="majorHAnsi" w:hAnsiTheme="majorHAnsi" w:cstheme="majorHAnsi"/>
                <w:i/>
                <w:lang w:val="en-US"/>
              </w:rPr>
              <w:t>25</w:t>
            </w:r>
            <w:r w:rsidR="00A44A41" w:rsidRPr="002A2E9C">
              <w:rPr>
                <w:rFonts w:asciiTheme="majorHAnsi" w:hAnsiTheme="majorHAnsi" w:cstheme="majorHAnsi"/>
                <w:i/>
                <w:lang w:val="en-US"/>
              </w:rPr>
              <w:t xml:space="preserve"> </w:t>
            </w:r>
            <w:r w:rsidRPr="002A2E9C">
              <w:rPr>
                <w:rFonts w:asciiTheme="majorHAnsi" w:hAnsiTheme="majorHAnsi" w:cstheme="majorHAnsi"/>
                <w:i/>
              </w:rPr>
              <w:t xml:space="preserve">tháng </w:t>
            </w:r>
            <w:r w:rsidR="0079565B">
              <w:rPr>
                <w:rFonts w:asciiTheme="majorHAnsi" w:hAnsiTheme="majorHAnsi" w:cstheme="majorHAnsi"/>
                <w:i/>
                <w:lang w:val="en-US"/>
              </w:rPr>
              <w:t>11</w:t>
            </w:r>
            <w:r w:rsidRPr="002A2E9C">
              <w:rPr>
                <w:rFonts w:asciiTheme="majorHAnsi" w:hAnsiTheme="majorHAnsi" w:cstheme="majorHAnsi"/>
                <w:i/>
              </w:rPr>
              <w:t xml:space="preserve"> năm </w:t>
            </w:r>
            <w:r w:rsidR="0079565B">
              <w:rPr>
                <w:rFonts w:asciiTheme="majorHAnsi" w:hAnsiTheme="majorHAnsi" w:cstheme="majorHAnsi"/>
                <w:i/>
                <w:lang w:val="en-US"/>
              </w:rPr>
              <w:t>2019</w:t>
            </w:r>
          </w:p>
        </w:tc>
      </w:tr>
    </w:tbl>
    <w:p w14:paraId="5F386A01" w14:textId="1DCDC1AA" w:rsidR="00C37FE6" w:rsidRPr="002A2E9C" w:rsidRDefault="00C37FE6" w:rsidP="00F46FDE">
      <w:pPr>
        <w:spacing w:before="120" w:after="120" w:line="264" w:lineRule="auto"/>
        <w:jc w:val="center"/>
        <w:rPr>
          <w:rFonts w:asciiTheme="majorHAnsi" w:hAnsiTheme="majorHAnsi" w:cstheme="majorHAnsi"/>
          <w:b/>
        </w:rPr>
      </w:pPr>
      <w:r w:rsidRPr="002A2E9C">
        <w:rPr>
          <w:rFonts w:asciiTheme="majorHAnsi" w:hAnsiTheme="majorHAnsi" w:cstheme="majorHAnsi"/>
          <w:b/>
        </w:rPr>
        <w:t>BÁO CÁO THẨM TRA</w:t>
      </w:r>
    </w:p>
    <w:p w14:paraId="4FB2A087" w14:textId="77777777" w:rsidR="00AC0C55" w:rsidRPr="002A2E9C" w:rsidRDefault="00AC0C55" w:rsidP="00AC0C55">
      <w:pPr>
        <w:jc w:val="center"/>
        <w:rPr>
          <w:rFonts w:ascii="Times New Roman" w:hAnsi="Times New Roman"/>
          <w:b/>
          <w:bCs/>
          <w:noProof w:val="0"/>
          <w:spacing w:val="-6"/>
          <w:szCs w:val="28"/>
          <w:lang w:val="nl-NL"/>
        </w:rPr>
      </w:pPr>
      <w:r w:rsidRPr="002A2E9C">
        <w:rPr>
          <w:rFonts w:ascii="Times New Roman" w:hAnsi="Times New Roman"/>
          <w:b/>
          <w:bCs/>
          <w:noProof w:val="0"/>
          <w:spacing w:val="-6"/>
          <w:szCs w:val="28"/>
          <w:lang w:val="nl-NL"/>
        </w:rPr>
        <w:t>D</w:t>
      </w:r>
      <w:r w:rsidRPr="002A2E9C">
        <w:rPr>
          <w:rFonts w:ascii="Times New Roman" w:hAnsi="Times New Roman" w:cs="Arial"/>
          <w:b/>
          <w:bCs/>
          <w:noProof w:val="0"/>
          <w:spacing w:val="-6"/>
          <w:szCs w:val="28"/>
          <w:lang w:val="nl-NL"/>
        </w:rPr>
        <w:t>ự</w:t>
      </w:r>
      <w:r w:rsidRPr="002A2E9C">
        <w:rPr>
          <w:rFonts w:ascii="Times New Roman" w:hAnsi="Times New Roman"/>
          <w:b/>
          <w:bCs/>
          <w:noProof w:val="0"/>
          <w:spacing w:val="-6"/>
          <w:szCs w:val="28"/>
          <w:lang w:val="nl-NL"/>
        </w:rPr>
        <w:t xml:space="preserve"> th</w:t>
      </w:r>
      <w:r w:rsidRPr="002A2E9C">
        <w:rPr>
          <w:rFonts w:ascii="Times New Roman" w:hAnsi="Times New Roman" w:cs="Arial"/>
          <w:b/>
          <w:bCs/>
          <w:noProof w:val="0"/>
          <w:spacing w:val="-6"/>
          <w:szCs w:val="28"/>
          <w:lang w:val="nl-NL"/>
        </w:rPr>
        <w:t>ả</w:t>
      </w:r>
      <w:r w:rsidRPr="002A2E9C">
        <w:rPr>
          <w:rFonts w:ascii="Times New Roman" w:hAnsi="Times New Roman"/>
          <w:b/>
          <w:bCs/>
          <w:noProof w:val="0"/>
          <w:spacing w:val="-6"/>
          <w:szCs w:val="28"/>
          <w:lang w:val="nl-NL"/>
        </w:rPr>
        <w:t>o Ngh</w:t>
      </w:r>
      <w:r w:rsidRPr="002A2E9C">
        <w:rPr>
          <w:rFonts w:ascii="Times New Roman" w:hAnsi="Times New Roman" w:cs="Arial"/>
          <w:b/>
          <w:bCs/>
          <w:noProof w:val="0"/>
          <w:spacing w:val="-6"/>
          <w:szCs w:val="28"/>
          <w:lang w:val="nl-NL"/>
        </w:rPr>
        <w:t>ị</w:t>
      </w:r>
      <w:r w:rsidRPr="002A2E9C">
        <w:rPr>
          <w:rFonts w:ascii="Times New Roman" w:hAnsi="Times New Roman"/>
          <w:b/>
          <w:bCs/>
          <w:noProof w:val="0"/>
          <w:spacing w:val="-6"/>
          <w:szCs w:val="28"/>
          <w:lang w:val="nl-NL"/>
        </w:rPr>
        <w:t xml:space="preserve"> quy</w:t>
      </w:r>
      <w:r w:rsidRPr="002A2E9C">
        <w:rPr>
          <w:rFonts w:ascii="Times New Roman" w:hAnsi="Times New Roman" w:cs="Arial"/>
          <w:b/>
          <w:bCs/>
          <w:noProof w:val="0"/>
          <w:spacing w:val="-6"/>
          <w:szCs w:val="28"/>
          <w:lang w:val="nl-NL"/>
        </w:rPr>
        <w:t>ế</w:t>
      </w:r>
      <w:r w:rsidRPr="002A2E9C">
        <w:rPr>
          <w:rFonts w:ascii="Times New Roman" w:hAnsi="Times New Roman"/>
          <w:b/>
          <w:bCs/>
          <w:noProof w:val="0"/>
          <w:spacing w:val="-6"/>
          <w:szCs w:val="28"/>
          <w:lang w:val="nl-NL"/>
        </w:rPr>
        <w:t xml:space="preserve">t quy </w:t>
      </w:r>
      <w:r w:rsidRPr="002A2E9C">
        <w:rPr>
          <w:rFonts w:ascii="Times New Roman" w:hAnsi="Times New Roman" w:cs="Arial"/>
          <w:b/>
          <w:bCs/>
          <w:noProof w:val="0"/>
          <w:spacing w:val="-6"/>
          <w:szCs w:val="28"/>
          <w:lang w:val="nl-NL"/>
        </w:rPr>
        <w:t>đị</w:t>
      </w:r>
      <w:r w:rsidRPr="002A2E9C">
        <w:rPr>
          <w:rFonts w:ascii="Times New Roman" w:hAnsi="Times New Roman"/>
          <w:b/>
          <w:bCs/>
          <w:noProof w:val="0"/>
          <w:spacing w:val="-6"/>
          <w:szCs w:val="28"/>
          <w:lang w:val="nl-NL"/>
        </w:rPr>
        <w:t>nh m</w:t>
      </w:r>
      <w:r w:rsidRPr="002A2E9C">
        <w:rPr>
          <w:rFonts w:ascii="Times New Roman" w:hAnsi="Times New Roman" w:cs="Arial"/>
          <w:b/>
          <w:bCs/>
          <w:noProof w:val="0"/>
          <w:spacing w:val="-6"/>
          <w:szCs w:val="28"/>
          <w:lang w:val="nl-NL"/>
        </w:rPr>
        <w:t>ứ</w:t>
      </w:r>
      <w:r w:rsidRPr="002A2E9C">
        <w:rPr>
          <w:rFonts w:ascii="Times New Roman" w:hAnsi="Times New Roman"/>
          <w:b/>
          <w:bCs/>
          <w:noProof w:val="0"/>
          <w:spacing w:val="-6"/>
          <w:szCs w:val="28"/>
          <w:lang w:val="nl-NL"/>
        </w:rPr>
        <w:t>c gi</w:t>
      </w:r>
      <w:r w:rsidRPr="002A2E9C">
        <w:rPr>
          <w:rFonts w:ascii="Times New Roman" w:hAnsi="Times New Roman" w:cs=".VnTimeH"/>
          <w:b/>
          <w:bCs/>
          <w:noProof w:val="0"/>
          <w:spacing w:val="-6"/>
          <w:szCs w:val="28"/>
          <w:lang w:val="nl-NL"/>
        </w:rPr>
        <w:t>á</w:t>
      </w:r>
      <w:r w:rsidRPr="002A2E9C">
        <w:rPr>
          <w:rFonts w:ascii="Times New Roman" w:hAnsi="Times New Roman"/>
          <w:b/>
          <w:bCs/>
          <w:noProof w:val="0"/>
          <w:spacing w:val="-6"/>
          <w:szCs w:val="28"/>
          <w:lang w:val="nl-NL"/>
        </w:rPr>
        <w:t xml:space="preserve"> d</w:t>
      </w:r>
      <w:r w:rsidRPr="002A2E9C">
        <w:rPr>
          <w:rFonts w:ascii="Times New Roman" w:hAnsi="Times New Roman" w:cs="Arial"/>
          <w:b/>
          <w:bCs/>
          <w:noProof w:val="0"/>
          <w:spacing w:val="-6"/>
          <w:szCs w:val="28"/>
          <w:lang w:val="nl-NL"/>
        </w:rPr>
        <w:t>ị</w:t>
      </w:r>
      <w:r w:rsidRPr="002A2E9C">
        <w:rPr>
          <w:rFonts w:ascii="Times New Roman" w:hAnsi="Times New Roman"/>
          <w:b/>
          <w:bCs/>
          <w:noProof w:val="0"/>
          <w:spacing w:val="-6"/>
          <w:szCs w:val="28"/>
          <w:lang w:val="nl-NL"/>
        </w:rPr>
        <w:t>ch v</w:t>
      </w:r>
      <w:r w:rsidRPr="002A2E9C">
        <w:rPr>
          <w:rFonts w:ascii="Times New Roman" w:hAnsi="Times New Roman" w:cs="Arial"/>
          <w:b/>
          <w:bCs/>
          <w:noProof w:val="0"/>
          <w:spacing w:val="-6"/>
          <w:szCs w:val="28"/>
          <w:lang w:val="nl-NL"/>
        </w:rPr>
        <w:t>ụ</w:t>
      </w:r>
      <w:r w:rsidRPr="002A2E9C">
        <w:rPr>
          <w:rFonts w:ascii="Times New Roman" w:hAnsi="Times New Roman"/>
          <w:b/>
          <w:bCs/>
          <w:noProof w:val="0"/>
          <w:spacing w:val="-6"/>
          <w:szCs w:val="28"/>
          <w:lang w:val="nl-NL"/>
        </w:rPr>
        <w:t xml:space="preserve"> kh</w:t>
      </w:r>
      <w:r w:rsidRPr="002A2E9C">
        <w:rPr>
          <w:rFonts w:ascii="Times New Roman" w:hAnsi="Times New Roman" w:cs=".VnTimeH"/>
          <w:b/>
          <w:bCs/>
          <w:noProof w:val="0"/>
          <w:spacing w:val="-6"/>
          <w:szCs w:val="28"/>
          <w:lang w:val="nl-NL"/>
        </w:rPr>
        <w:t>á</w:t>
      </w:r>
      <w:r w:rsidRPr="002A2E9C">
        <w:rPr>
          <w:rFonts w:ascii="Times New Roman" w:hAnsi="Times New Roman"/>
          <w:b/>
          <w:bCs/>
          <w:noProof w:val="0"/>
          <w:spacing w:val="-6"/>
          <w:szCs w:val="28"/>
          <w:lang w:val="nl-NL"/>
        </w:rPr>
        <w:t>m b</w:t>
      </w:r>
      <w:r w:rsidRPr="002A2E9C">
        <w:rPr>
          <w:rFonts w:ascii="Times New Roman" w:hAnsi="Times New Roman" w:cs="Arial"/>
          <w:b/>
          <w:bCs/>
          <w:noProof w:val="0"/>
          <w:spacing w:val="-6"/>
          <w:szCs w:val="28"/>
          <w:lang w:val="nl-NL"/>
        </w:rPr>
        <w:t>ệ</w:t>
      </w:r>
      <w:r w:rsidRPr="002A2E9C">
        <w:rPr>
          <w:rFonts w:ascii="Times New Roman" w:hAnsi="Times New Roman"/>
          <w:b/>
          <w:bCs/>
          <w:noProof w:val="0"/>
          <w:spacing w:val="-6"/>
          <w:szCs w:val="28"/>
          <w:lang w:val="nl-NL"/>
        </w:rPr>
        <w:t>nh, ch</w:t>
      </w:r>
      <w:r w:rsidRPr="002A2E9C">
        <w:rPr>
          <w:rFonts w:ascii="Times New Roman" w:hAnsi="Times New Roman" w:cs="Arial"/>
          <w:b/>
          <w:bCs/>
          <w:noProof w:val="0"/>
          <w:spacing w:val="-6"/>
          <w:szCs w:val="28"/>
          <w:lang w:val="nl-NL"/>
        </w:rPr>
        <w:t>ữ</w:t>
      </w:r>
      <w:r w:rsidRPr="002A2E9C">
        <w:rPr>
          <w:rFonts w:ascii="Times New Roman" w:hAnsi="Times New Roman"/>
          <w:b/>
          <w:bCs/>
          <w:noProof w:val="0"/>
          <w:spacing w:val="-6"/>
          <w:szCs w:val="28"/>
          <w:lang w:val="nl-NL"/>
        </w:rPr>
        <w:t>a b</w:t>
      </w:r>
      <w:r w:rsidRPr="002A2E9C">
        <w:rPr>
          <w:rFonts w:ascii="Times New Roman" w:hAnsi="Times New Roman" w:cs="Arial"/>
          <w:b/>
          <w:bCs/>
          <w:noProof w:val="0"/>
          <w:spacing w:val="-6"/>
          <w:szCs w:val="28"/>
          <w:lang w:val="nl-NL"/>
        </w:rPr>
        <w:t>ệ</w:t>
      </w:r>
      <w:r w:rsidRPr="002A2E9C">
        <w:rPr>
          <w:rFonts w:ascii="Times New Roman" w:hAnsi="Times New Roman"/>
          <w:b/>
          <w:bCs/>
          <w:noProof w:val="0"/>
          <w:spacing w:val="-6"/>
          <w:szCs w:val="28"/>
          <w:lang w:val="nl-NL"/>
        </w:rPr>
        <w:t xml:space="preserve">nh </w:t>
      </w:r>
    </w:p>
    <w:p w14:paraId="16755ED4" w14:textId="12C53B2E" w:rsidR="00C963E5" w:rsidRPr="002A2E9C" w:rsidRDefault="00AC0C55" w:rsidP="00AC0C55">
      <w:pPr>
        <w:jc w:val="center"/>
        <w:rPr>
          <w:rFonts w:ascii="Times New Roman" w:hAnsi="Times New Roman"/>
          <w:b/>
          <w:bCs/>
          <w:noProof w:val="0"/>
          <w:spacing w:val="-6"/>
          <w:szCs w:val="28"/>
          <w:lang w:val="nl-NL"/>
        </w:rPr>
      </w:pPr>
      <w:r w:rsidRPr="002A2E9C">
        <w:rPr>
          <w:rFonts w:ascii="Times New Roman" w:hAnsi="Times New Roman"/>
          <w:b/>
          <w:bCs/>
          <w:noProof w:val="0"/>
          <w:spacing w:val="-6"/>
          <w:szCs w:val="28"/>
          <w:lang w:val="nl-NL"/>
        </w:rPr>
        <w:t>không thu</w:t>
      </w:r>
      <w:r w:rsidRPr="002A2E9C">
        <w:rPr>
          <w:rFonts w:ascii="Times New Roman" w:hAnsi="Times New Roman" w:cs="Arial"/>
          <w:b/>
          <w:bCs/>
          <w:noProof w:val="0"/>
          <w:spacing w:val="-6"/>
          <w:szCs w:val="28"/>
          <w:lang w:val="nl-NL"/>
        </w:rPr>
        <w:t>ộ</w:t>
      </w:r>
      <w:r w:rsidRPr="002A2E9C">
        <w:rPr>
          <w:rFonts w:ascii="Times New Roman" w:hAnsi="Times New Roman"/>
          <w:b/>
          <w:bCs/>
          <w:noProof w:val="0"/>
          <w:spacing w:val="-6"/>
          <w:szCs w:val="28"/>
          <w:lang w:val="nl-NL"/>
        </w:rPr>
        <w:t>c ph</w:t>
      </w:r>
      <w:r w:rsidRPr="002A2E9C">
        <w:rPr>
          <w:rFonts w:ascii="Times New Roman" w:hAnsi="Times New Roman" w:cs="Arial"/>
          <w:b/>
          <w:bCs/>
          <w:noProof w:val="0"/>
          <w:spacing w:val="-6"/>
          <w:szCs w:val="28"/>
          <w:lang w:val="nl-NL"/>
        </w:rPr>
        <w:t>ạ</w:t>
      </w:r>
      <w:r w:rsidRPr="002A2E9C">
        <w:rPr>
          <w:rFonts w:ascii="Times New Roman" w:hAnsi="Times New Roman"/>
          <w:b/>
          <w:bCs/>
          <w:noProof w:val="0"/>
          <w:spacing w:val="-6"/>
          <w:szCs w:val="28"/>
          <w:lang w:val="nl-NL"/>
        </w:rPr>
        <w:t>m vi thanh to</w:t>
      </w:r>
      <w:r w:rsidRPr="002A2E9C">
        <w:rPr>
          <w:rFonts w:ascii="Times New Roman" w:hAnsi="Times New Roman" w:cs=".VnTimeH"/>
          <w:b/>
          <w:bCs/>
          <w:noProof w:val="0"/>
          <w:spacing w:val="-6"/>
          <w:szCs w:val="28"/>
          <w:lang w:val="nl-NL"/>
        </w:rPr>
        <w:t>á</w:t>
      </w:r>
      <w:r w:rsidRPr="002A2E9C">
        <w:rPr>
          <w:rFonts w:ascii="Times New Roman" w:hAnsi="Times New Roman"/>
          <w:b/>
          <w:bCs/>
          <w:noProof w:val="0"/>
          <w:spacing w:val="-6"/>
          <w:szCs w:val="28"/>
          <w:lang w:val="nl-NL"/>
        </w:rPr>
        <w:t>n c</w:t>
      </w:r>
      <w:r w:rsidRPr="002A2E9C">
        <w:rPr>
          <w:rFonts w:ascii="Times New Roman" w:hAnsi="Times New Roman" w:cs="Arial"/>
          <w:b/>
          <w:bCs/>
          <w:noProof w:val="0"/>
          <w:spacing w:val="-6"/>
          <w:szCs w:val="28"/>
          <w:lang w:val="nl-NL"/>
        </w:rPr>
        <w:t>ủ</w:t>
      </w:r>
      <w:r w:rsidRPr="002A2E9C">
        <w:rPr>
          <w:rFonts w:ascii="Times New Roman" w:hAnsi="Times New Roman"/>
          <w:b/>
          <w:bCs/>
          <w:noProof w:val="0"/>
          <w:spacing w:val="-6"/>
          <w:szCs w:val="28"/>
          <w:lang w:val="nl-NL"/>
        </w:rPr>
        <w:t>a Qu</w:t>
      </w:r>
      <w:r w:rsidRPr="002A2E9C">
        <w:rPr>
          <w:rFonts w:ascii="Times New Roman" w:hAnsi="Times New Roman" w:cs="Arial"/>
          <w:b/>
          <w:bCs/>
          <w:noProof w:val="0"/>
          <w:spacing w:val="-6"/>
          <w:szCs w:val="28"/>
          <w:lang w:val="nl-NL"/>
        </w:rPr>
        <w:t>ỹ</w:t>
      </w:r>
      <w:r w:rsidRPr="002A2E9C">
        <w:rPr>
          <w:rFonts w:ascii="Times New Roman" w:hAnsi="Times New Roman"/>
          <w:b/>
          <w:bCs/>
          <w:noProof w:val="0"/>
          <w:spacing w:val="-6"/>
          <w:szCs w:val="28"/>
          <w:lang w:val="nl-NL"/>
        </w:rPr>
        <w:t xml:space="preserve"> b</w:t>
      </w:r>
      <w:r w:rsidRPr="002A2E9C">
        <w:rPr>
          <w:rFonts w:ascii="Times New Roman" w:hAnsi="Times New Roman" w:cs="Arial"/>
          <w:b/>
          <w:bCs/>
          <w:noProof w:val="0"/>
          <w:spacing w:val="-6"/>
          <w:szCs w:val="28"/>
          <w:lang w:val="nl-NL"/>
        </w:rPr>
        <w:t>ả</w:t>
      </w:r>
      <w:r w:rsidRPr="002A2E9C">
        <w:rPr>
          <w:rFonts w:ascii="Times New Roman" w:hAnsi="Times New Roman"/>
          <w:b/>
          <w:bCs/>
          <w:noProof w:val="0"/>
          <w:spacing w:val="-6"/>
          <w:szCs w:val="28"/>
          <w:lang w:val="nl-NL"/>
        </w:rPr>
        <w:t>o hi</w:t>
      </w:r>
      <w:r w:rsidRPr="002A2E9C">
        <w:rPr>
          <w:rFonts w:ascii="Times New Roman" w:hAnsi="Times New Roman" w:cs="Arial"/>
          <w:b/>
          <w:bCs/>
          <w:noProof w:val="0"/>
          <w:spacing w:val="-6"/>
          <w:szCs w:val="28"/>
          <w:lang w:val="nl-NL"/>
        </w:rPr>
        <w:t>ể</w:t>
      </w:r>
      <w:r w:rsidRPr="002A2E9C">
        <w:rPr>
          <w:rFonts w:ascii="Times New Roman" w:hAnsi="Times New Roman"/>
          <w:b/>
          <w:bCs/>
          <w:noProof w:val="0"/>
          <w:spacing w:val="-6"/>
          <w:szCs w:val="28"/>
          <w:lang w:val="nl-NL"/>
        </w:rPr>
        <w:t>m y t</w:t>
      </w:r>
      <w:r w:rsidRPr="002A2E9C">
        <w:rPr>
          <w:rFonts w:ascii="Times New Roman" w:hAnsi="Times New Roman" w:cs="Arial"/>
          <w:b/>
          <w:bCs/>
          <w:noProof w:val="0"/>
          <w:spacing w:val="-6"/>
          <w:szCs w:val="28"/>
          <w:lang w:val="nl-NL"/>
        </w:rPr>
        <w:t>ế</w:t>
      </w:r>
      <w:r w:rsidRPr="002A2E9C">
        <w:rPr>
          <w:rFonts w:ascii="Times New Roman" w:hAnsi="Times New Roman"/>
          <w:b/>
          <w:bCs/>
          <w:noProof w:val="0"/>
          <w:spacing w:val="-6"/>
          <w:szCs w:val="28"/>
          <w:lang w:val="nl-NL"/>
        </w:rPr>
        <w:t xml:space="preserve"> trong c</w:t>
      </w:r>
      <w:r w:rsidRPr="002A2E9C">
        <w:rPr>
          <w:rFonts w:ascii="Times New Roman" w:hAnsi="Times New Roman" w:cs=".VnTimeH"/>
          <w:b/>
          <w:bCs/>
          <w:noProof w:val="0"/>
          <w:spacing w:val="-6"/>
          <w:szCs w:val="28"/>
          <w:lang w:val="nl-NL"/>
        </w:rPr>
        <w:t>á</w:t>
      </w:r>
      <w:r w:rsidRPr="002A2E9C">
        <w:rPr>
          <w:rFonts w:ascii="Times New Roman" w:hAnsi="Times New Roman"/>
          <w:b/>
          <w:bCs/>
          <w:noProof w:val="0"/>
          <w:spacing w:val="-6"/>
          <w:szCs w:val="28"/>
          <w:lang w:val="nl-NL"/>
        </w:rPr>
        <w:t>c c</w:t>
      </w:r>
      <w:r w:rsidRPr="002A2E9C">
        <w:rPr>
          <w:rFonts w:ascii="Times New Roman" w:hAnsi="Times New Roman" w:cs="Arial"/>
          <w:b/>
          <w:bCs/>
          <w:noProof w:val="0"/>
          <w:spacing w:val="-6"/>
          <w:szCs w:val="28"/>
          <w:lang w:val="nl-NL"/>
        </w:rPr>
        <w:t>ơ</w:t>
      </w:r>
      <w:r w:rsidRPr="002A2E9C">
        <w:rPr>
          <w:rFonts w:ascii="Times New Roman" w:hAnsi="Times New Roman"/>
          <w:b/>
          <w:bCs/>
          <w:noProof w:val="0"/>
          <w:spacing w:val="-6"/>
          <w:szCs w:val="28"/>
          <w:lang w:val="nl-NL"/>
        </w:rPr>
        <w:t xml:space="preserve"> s</w:t>
      </w:r>
      <w:r w:rsidRPr="002A2E9C">
        <w:rPr>
          <w:rFonts w:ascii="Times New Roman" w:hAnsi="Times New Roman" w:cs="Arial"/>
          <w:b/>
          <w:bCs/>
          <w:noProof w:val="0"/>
          <w:spacing w:val="-6"/>
          <w:szCs w:val="28"/>
          <w:lang w:val="nl-NL"/>
        </w:rPr>
        <w:t>ở</w:t>
      </w:r>
      <w:r w:rsidRPr="002A2E9C">
        <w:rPr>
          <w:rFonts w:ascii="Times New Roman" w:hAnsi="Times New Roman"/>
          <w:b/>
          <w:bCs/>
          <w:noProof w:val="0"/>
          <w:spacing w:val="-6"/>
          <w:szCs w:val="28"/>
          <w:lang w:val="nl-NL"/>
        </w:rPr>
        <w:t xml:space="preserve"> kh</w:t>
      </w:r>
      <w:r w:rsidRPr="002A2E9C">
        <w:rPr>
          <w:rFonts w:ascii="Times New Roman" w:hAnsi="Times New Roman" w:cs=".VnTimeH"/>
          <w:b/>
          <w:bCs/>
          <w:noProof w:val="0"/>
          <w:spacing w:val="-6"/>
          <w:szCs w:val="28"/>
          <w:lang w:val="nl-NL"/>
        </w:rPr>
        <w:t>á</w:t>
      </w:r>
      <w:r w:rsidRPr="002A2E9C">
        <w:rPr>
          <w:rFonts w:ascii="Times New Roman" w:hAnsi="Times New Roman"/>
          <w:b/>
          <w:bCs/>
          <w:noProof w:val="0"/>
          <w:spacing w:val="-6"/>
          <w:szCs w:val="28"/>
          <w:lang w:val="nl-NL"/>
        </w:rPr>
        <w:t>m b</w:t>
      </w:r>
      <w:r w:rsidRPr="002A2E9C">
        <w:rPr>
          <w:rFonts w:ascii="Times New Roman" w:hAnsi="Times New Roman" w:cs="Arial"/>
          <w:b/>
          <w:bCs/>
          <w:noProof w:val="0"/>
          <w:spacing w:val="-6"/>
          <w:szCs w:val="28"/>
          <w:lang w:val="nl-NL"/>
        </w:rPr>
        <w:t>ệ</w:t>
      </w:r>
      <w:r w:rsidRPr="002A2E9C">
        <w:rPr>
          <w:rFonts w:ascii="Times New Roman" w:hAnsi="Times New Roman"/>
          <w:b/>
          <w:bCs/>
          <w:noProof w:val="0"/>
          <w:spacing w:val="-6"/>
          <w:szCs w:val="28"/>
          <w:lang w:val="nl-NL"/>
        </w:rPr>
        <w:t>nh, ch</w:t>
      </w:r>
      <w:r w:rsidRPr="002A2E9C">
        <w:rPr>
          <w:rFonts w:ascii="Times New Roman" w:hAnsi="Times New Roman" w:cs="Arial"/>
          <w:b/>
          <w:bCs/>
          <w:noProof w:val="0"/>
          <w:spacing w:val="-6"/>
          <w:szCs w:val="28"/>
          <w:lang w:val="nl-NL"/>
        </w:rPr>
        <w:t>ữ</w:t>
      </w:r>
      <w:r w:rsidRPr="002A2E9C">
        <w:rPr>
          <w:rFonts w:ascii="Times New Roman" w:hAnsi="Times New Roman"/>
          <w:b/>
          <w:bCs/>
          <w:noProof w:val="0"/>
          <w:spacing w:val="-6"/>
          <w:szCs w:val="28"/>
          <w:lang w:val="nl-NL"/>
        </w:rPr>
        <w:t>a b</w:t>
      </w:r>
      <w:r w:rsidRPr="002A2E9C">
        <w:rPr>
          <w:rFonts w:ascii="Times New Roman" w:hAnsi="Times New Roman" w:cs="Arial"/>
          <w:b/>
          <w:bCs/>
          <w:noProof w:val="0"/>
          <w:spacing w:val="-6"/>
          <w:szCs w:val="28"/>
          <w:lang w:val="nl-NL"/>
        </w:rPr>
        <w:t>ệ</w:t>
      </w:r>
      <w:r w:rsidRPr="002A2E9C">
        <w:rPr>
          <w:rFonts w:ascii="Times New Roman" w:hAnsi="Times New Roman"/>
          <w:b/>
          <w:bCs/>
          <w:noProof w:val="0"/>
          <w:spacing w:val="-6"/>
          <w:szCs w:val="28"/>
          <w:lang w:val="nl-NL"/>
        </w:rPr>
        <w:t>nh c</w:t>
      </w:r>
      <w:r w:rsidRPr="002A2E9C">
        <w:rPr>
          <w:rFonts w:ascii="Times New Roman" w:hAnsi="Times New Roman" w:cs="Arial"/>
          <w:b/>
          <w:bCs/>
          <w:noProof w:val="0"/>
          <w:spacing w:val="-6"/>
          <w:szCs w:val="28"/>
          <w:lang w:val="nl-NL"/>
        </w:rPr>
        <w:t>ủ</w:t>
      </w:r>
      <w:r w:rsidRPr="002A2E9C">
        <w:rPr>
          <w:rFonts w:ascii="Times New Roman" w:hAnsi="Times New Roman"/>
          <w:b/>
          <w:bCs/>
          <w:noProof w:val="0"/>
          <w:spacing w:val="-6"/>
          <w:szCs w:val="28"/>
          <w:lang w:val="nl-NL"/>
        </w:rPr>
        <w:t>a Nh</w:t>
      </w:r>
      <w:r w:rsidRPr="002A2E9C">
        <w:rPr>
          <w:rFonts w:ascii="Times New Roman" w:hAnsi="Times New Roman" w:cs=".VnTimeH"/>
          <w:b/>
          <w:bCs/>
          <w:noProof w:val="0"/>
          <w:spacing w:val="-6"/>
          <w:szCs w:val="28"/>
          <w:lang w:val="nl-NL"/>
        </w:rPr>
        <w:t>à</w:t>
      </w:r>
      <w:r w:rsidRPr="002A2E9C">
        <w:rPr>
          <w:rFonts w:ascii="Times New Roman" w:hAnsi="Times New Roman"/>
          <w:b/>
          <w:bCs/>
          <w:noProof w:val="0"/>
          <w:spacing w:val="-6"/>
          <w:szCs w:val="28"/>
          <w:lang w:val="nl-NL"/>
        </w:rPr>
        <w:t xml:space="preserve"> n</w:t>
      </w:r>
      <w:r w:rsidRPr="002A2E9C">
        <w:rPr>
          <w:rFonts w:ascii="Times New Roman" w:hAnsi="Times New Roman" w:cs="Arial"/>
          <w:b/>
          <w:bCs/>
          <w:noProof w:val="0"/>
          <w:spacing w:val="-6"/>
          <w:szCs w:val="28"/>
          <w:lang w:val="nl-NL"/>
        </w:rPr>
        <w:t>ướ</w:t>
      </w:r>
      <w:r w:rsidRPr="002A2E9C">
        <w:rPr>
          <w:rFonts w:ascii="Times New Roman" w:hAnsi="Times New Roman"/>
          <w:b/>
          <w:bCs/>
          <w:noProof w:val="0"/>
          <w:spacing w:val="-6"/>
          <w:szCs w:val="28"/>
          <w:lang w:val="nl-NL"/>
        </w:rPr>
        <w:t>c tr</w:t>
      </w:r>
      <w:r w:rsidRPr="002A2E9C">
        <w:rPr>
          <w:rFonts w:ascii="Times New Roman" w:hAnsi="Times New Roman" w:cs=".VnTimeH"/>
          <w:b/>
          <w:bCs/>
          <w:noProof w:val="0"/>
          <w:spacing w:val="-6"/>
          <w:szCs w:val="28"/>
          <w:lang w:val="nl-NL"/>
        </w:rPr>
        <w:t>ê</w:t>
      </w:r>
      <w:r w:rsidRPr="002A2E9C">
        <w:rPr>
          <w:rFonts w:ascii="Times New Roman" w:hAnsi="Times New Roman"/>
          <w:b/>
          <w:bCs/>
          <w:noProof w:val="0"/>
          <w:spacing w:val="-6"/>
          <w:szCs w:val="28"/>
          <w:lang w:val="nl-NL"/>
        </w:rPr>
        <w:t xml:space="preserve">n </w:t>
      </w:r>
      <w:r w:rsidRPr="002A2E9C">
        <w:rPr>
          <w:rFonts w:ascii="Times New Roman" w:hAnsi="Times New Roman" w:cs="Arial"/>
          <w:b/>
          <w:bCs/>
          <w:noProof w:val="0"/>
          <w:spacing w:val="-6"/>
          <w:szCs w:val="28"/>
          <w:lang w:val="nl-NL"/>
        </w:rPr>
        <w:t>đị</w:t>
      </w:r>
      <w:r w:rsidRPr="002A2E9C">
        <w:rPr>
          <w:rFonts w:ascii="Times New Roman" w:hAnsi="Times New Roman"/>
          <w:b/>
          <w:bCs/>
          <w:noProof w:val="0"/>
          <w:spacing w:val="-6"/>
          <w:szCs w:val="28"/>
          <w:lang w:val="nl-NL"/>
        </w:rPr>
        <w:t>a b</w:t>
      </w:r>
      <w:r w:rsidRPr="002A2E9C">
        <w:rPr>
          <w:rFonts w:ascii="Times New Roman" w:hAnsi="Times New Roman" w:cs=".VnTimeH"/>
          <w:b/>
          <w:bCs/>
          <w:noProof w:val="0"/>
          <w:spacing w:val="-6"/>
          <w:szCs w:val="28"/>
          <w:lang w:val="nl-NL"/>
        </w:rPr>
        <w:t>à</w:t>
      </w:r>
      <w:r w:rsidRPr="002A2E9C">
        <w:rPr>
          <w:rFonts w:ascii="Times New Roman" w:hAnsi="Times New Roman"/>
          <w:b/>
          <w:bCs/>
          <w:noProof w:val="0"/>
          <w:spacing w:val="-6"/>
          <w:szCs w:val="28"/>
          <w:lang w:val="nl-NL"/>
        </w:rPr>
        <w:t>n t</w:t>
      </w:r>
      <w:r w:rsidRPr="002A2E9C">
        <w:rPr>
          <w:rFonts w:ascii="Times New Roman" w:hAnsi="Times New Roman" w:cs="Arial"/>
          <w:b/>
          <w:bCs/>
          <w:noProof w:val="0"/>
          <w:spacing w:val="-6"/>
          <w:szCs w:val="28"/>
          <w:lang w:val="nl-NL"/>
        </w:rPr>
        <w:t>ỉ</w:t>
      </w:r>
      <w:r w:rsidRPr="002A2E9C">
        <w:rPr>
          <w:rFonts w:ascii="Times New Roman" w:hAnsi="Times New Roman"/>
          <w:b/>
          <w:bCs/>
          <w:noProof w:val="0"/>
          <w:spacing w:val="-6"/>
          <w:szCs w:val="28"/>
          <w:lang w:val="nl-NL"/>
        </w:rPr>
        <w:t>nh Kon Tum</w:t>
      </w:r>
    </w:p>
    <w:p w14:paraId="4F30BD61" w14:textId="2FC3B652" w:rsidR="00C37FE6" w:rsidRPr="002A2E9C" w:rsidRDefault="00C37FE6" w:rsidP="00C963E5">
      <w:pPr>
        <w:jc w:val="center"/>
        <w:rPr>
          <w:rFonts w:asciiTheme="majorHAnsi" w:hAnsiTheme="majorHAnsi" w:cstheme="majorHAnsi"/>
        </w:rPr>
      </w:pPr>
      <w:r w:rsidRPr="002A2E9C">
        <w:rPr>
          <w:rFonts w:asciiTheme="majorHAnsi" w:hAnsiTheme="majorHAnsi" w:cstheme="majorHAnsi"/>
          <w:lang w:eastAsia="vi-VN"/>
        </w:rPr>
        <mc:AlternateContent>
          <mc:Choice Requires="wps">
            <w:drawing>
              <wp:anchor distT="4294967294" distB="4294967294" distL="114300" distR="114300" simplePos="0" relativeHeight="251661312" behindDoc="0" locked="0" layoutInCell="1" allowOverlap="1" wp14:anchorId="1DC92D71" wp14:editId="49E115C0">
                <wp:simplePos x="0" y="0"/>
                <wp:positionH relativeFrom="margin">
                  <wp:align>center</wp:align>
                </wp:positionH>
                <wp:positionV relativeFrom="paragraph">
                  <wp:posOffset>69243</wp:posOffset>
                </wp:positionV>
                <wp:extent cx="786986"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986"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D440D1" id="Straight Connector 3"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" strokecolor="#002060">
                <o:lock v:ext="edit" shapetype="f"/>
                <w10:wrap anchorx="margin"/>
              </v:line>
            </w:pict>
          </mc:Fallback>
        </mc:AlternateContent>
      </w:r>
    </w:p>
    <w:p w14:paraId="6114F8DB" w14:textId="75C79E7C" w:rsidR="00580C96" w:rsidRPr="002A2E9C" w:rsidRDefault="00580C96" w:rsidP="003A17AF">
      <w:pPr>
        <w:spacing w:before="60" w:after="60" w:line="252" w:lineRule="auto"/>
        <w:ind w:firstLine="709"/>
        <w:jc w:val="both"/>
        <w:rPr>
          <w:rFonts w:asciiTheme="majorHAnsi" w:hAnsiTheme="majorHAnsi" w:cstheme="majorHAnsi"/>
        </w:rPr>
      </w:pPr>
      <w:r w:rsidRPr="002A2E9C">
        <w:rPr>
          <w:rFonts w:asciiTheme="majorHAnsi" w:hAnsiTheme="majorHAnsi" w:cstheme="majorHAnsi"/>
        </w:rPr>
        <w:t xml:space="preserve">Căn cứ Luật Tổ chức Chính quyền địa phương năm 2015; Luật </w:t>
      </w:r>
      <w:r w:rsidR="00BD2B67" w:rsidRPr="0079565B">
        <w:rPr>
          <w:rFonts w:asciiTheme="majorHAnsi" w:hAnsiTheme="majorHAnsi" w:cstheme="majorHAnsi"/>
        </w:rPr>
        <w:t>H</w:t>
      </w:r>
      <w:r w:rsidRPr="002A2E9C">
        <w:rPr>
          <w:rFonts w:asciiTheme="majorHAnsi" w:hAnsiTheme="majorHAnsi" w:cstheme="majorHAnsi"/>
        </w:rPr>
        <w:t>oạt động giám sát của Quốc hội và Hội đồng nhân dân năm 2015</w:t>
      </w:r>
      <w:r w:rsidR="00E56C89" w:rsidRPr="002A2E9C">
        <w:rPr>
          <w:rFonts w:asciiTheme="majorHAnsi" w:hAnsiTheme="majorHAnsi" w:cstheme="majorHAnsi"/>
        </w:rPr>
        <w:t xml:space="preserve">; </w:t>
      </w:r>
      <w:r w:rsidR="00E56C89" w:rsidRPr="0079565B">
        <w:rPr>
          <w:rFonts w:asciiTheme="majorHAnsi" w:hAnsiTheme="majorHAnsi" w:cstheme="majorHAnsi"/>
        </w:rPr>
        <w:t>Luật Ban hành văn bản quy phạm pháp luật năm 2015;</w:t>
      </w:r>
    </w:p>
    <w:p w14:paraId="7C9BE6D6" w14:textId="05F5C4CC" w:rsidR="00580C96" w:rsidRPr="002A2E9C" w:rsidRDefault="00580C96" w:rsidP="003A17AF">
      <w:pPr>
        <w:spacing w:before="60" w:after="60" w:line="252" w:lineRule="auto"/>
        <w:ind w:firstLine="709"/>
        <w:jc w:val="both"/>
        <w:rPr>
          <w:rFonts w:asciiTheme="majorHAnsi" w:hAnsiTheme="majorHAnsi" w:cstheme="majorHAnsi"/>
        </w:rPr>
      </w:pPr>
      <w:r w:rsidRPr="002A2E9C">
        <w:rPr>
          <w:rFonts w:asciiTheme="majorHAnsi" w:hAnsiTheme="majorHAnsi" w:cstheme="majorHAnsi"/>
        </w:rPr>
        <w:t>Thực hiện sự phân công của</w:t>
      </w:r>
      <w:r w:rsidR="00E56C89" w:rsidRPr="002A2E9C">
        <w:rPr>
          <w:rFonts w:asciiTheme="majorHAnsi" w:hAnsiTheme="majorHAnsi" w:cstheme="majorHAnsi"/>
        </w:rPr>
        <w:t xml:space="preserve"> Thường trực Hội đồng nhân tỉnh</w:t>
      </w:r>
      <w:r w:rsidR="00E56C89" w:rsidRPr="0079565B">
        <w:rPr>
          <w:rFonts w:asciiTheme="majorHAnsi" w:hAnsiTheme="majorHAnsi" w:cstheme="majorHAnsi"/>
        </w:rPr>
        <w:t>,</w:t>
      </w:r>
      <w:r w:rsidRPr="002A2E9C">
        <w:rPr>
          <w:rFonts w:asciiTheme="majorHAnsi" w:hAnsiTheme="majorHAnsi" w:cstheme="majorHAnsi"/>
        </w:rPr>
        <w:t xml:space="preserve"> trên cơ sở Tờ trình số </w:t>
      </w:r>
      <w:r w:rsidR="00AC0C55" w:rsidRPr="0079565B">
        <w:rPr>
          <w:rFonts w:asciiTheme="majorHAnsi" w:hAnsiTheme="majorHAnsi" w:cstheme="majorHAnsi"/>
        </w:rPr>
        <w:t>141</w:t>
      </w:r>
      <w:r w:rsidR="00C963E5" w:rsidRPr="0079565B">
        <w:rPr>
          <w:rFonts w:asciiTheme="majorHAnsi" w:hAnsiTheme="majorHAnsi" w:cstheme="majorHAnsi"/>
        </w:rPr>
        <w:t>/</w:t>
      </w:r>
      <w:r w:rsidRPr="002A2E9C">
        <w:rPr>
          <w:rFonts w:asciiTheme="majorHAnsi" w:hAnsiTheme="majorHAnsi" w:cstheme="majorHAnsi"/>
        </w:rPr>
        <w:t xml:space="preserve">TTr-UBND ngày </w:t>
      </w:r>
      <w:r w:rsidR="00AC0C55" w:rsidRPr="0079565B">
        <w:rPr>
          <w:rFonts w:asciiTheme="majorHAnsi" w:hAnsiTheme="majorHAnsi" w:cstheme="majorHAnsi"/>
        </w:rPr>
        <w:t>30</w:t>
      </w:r>
      <w:r w:rsidRPr="002A2E9C">
        <w:rPr>
          <w:rFonts w:asciiTheme="majorHAnsi" w:hAnsiTheme="majorHAnsi" w:cstheme="majorHAnsi"/>
        </w:rPr>
        <w:t>/</w:t>
      </w:r>
      <w:r w:rsidR="00AC0C55" w:rsidRPr="0079565B">
        <w:rPr>
          <w:rFonts w:asciiTheme="majorHAnsi" w:hAnsiTheme="majorHAnsi" w:cstheme="majorHAnsi"/>
        </w:rPr>
        <w:t>10</w:t>
      </w:r>
      <w:r w:rsidRPr="002A2E9C">
        <w:rPr>
          <w:rFonts w:asciiTheme="majorHAnsi" w:hAnsiTheme="majorHAnsi" w:cstheme="majorHAnsi"/>
        </w:rPr>
        <w:t>/201</w:t>
      </w:r>
      <w:r w:rsidR="00C963E5" w:rsidRPr="0079565B">
        <w:rPr>
          <w:rFonts w:asciiTheme="majorHAnsi" w:hAnsiTheme="majorHAnsi" w:cstheme="majorHAnsi"/>
        </w:rPr>
        <w:t>9</w:t>
      </w:r>
      <w:r w:rsidRPr="002A2E9C">
        <w:rPr>
          <w:rFonts w:asciiTheme="majorHAnsi" w:hAnsiTheme="majorHAnsi" w:cstheme="majorHAnsi"/>
        </w:rPr>
        <w:t xml:space="preserve"> của Ủy ban nhân dân tỉnh về </w:t>
      </w:r>
      <w:r w:rsidR="00944567" w:rsidRPr="002A2E9C">
        <w:rPr>
          <w:rFonts w:asciiTheme="majorHAnsi" w:hAnsiTheme="majorHAnsi" w:cstheme="majorHAnsi"/>
        </w:rPr>
        <w:t xml:space="preserve">dự thảo </w:t>
      </w:r>
      <w:r w:rsidR="00944567" w:rsidRPr="0079565B">
        <w:rPr>
          <w:rFonts w:asciiTheme="majorHAnsi" w:hAnsiTheme="majorHAnsi" w:cstheme="majorHAnsi"/>
        </w:rPr>
        <w:t>n</w:t>
      </w:r>
      <w:r w:rsidR="00944567" w:rsidRPr="002A2E9C">
        <w:rPr>
          <w:rFonts w:asciiTheme="majorHAnsi" w:hAnsiTheme="majorHAnsi" w:cstheme="majorHAnsi"/>
        </w:rPr>
        <w:t>ghị quyết quy định mức giá dịch vụ khám bệnh, chữa bệnh không thuộc phạm vi thanh toán của Quỹ bảo hiểm y tế trong các cơ sở khám bệnh, chữa bệnh của Nhà nước trên địa bàn tỉnh Kon Tum</w:t>
      </w:r>
      <w:r w:rsidRPr="002A2E9C">
        <w:rPr>
          <w:rFonts w:asciiTheme="majorHAnsi" w:hAnsiTheme="majorHAnsi" w:cstheme="majorHAnsi"/>
        </w:rPr>
        <w:t>; dự thảo nghị quyết và hồ sơ trình thẩm tra kèm theo. 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14:paraId="5D2D5F1E" w14:textId="3FC05CFF" w:rsidR="007253EC" w:rsidRPr="0079565B" w:rsidRDefault="00C963E5" w:rsidP="003A17AF">
      <w:pPr>
        <w:pStyle w:val="ListParagraph"/>
        <w:spacing w:before="60" w:after="60" w:line="252" w:lineRule="auto"/>
        <w:ind w:left="0" w:firstLine="709"/>
        <w:contextualSpacing w:val="0"/>
        <w:rPr>
          <w:rFonts w:asciiTheme="majorHAnsi" w:hAnsiTheme="majorHAnsi" w:cstheme="majorHAnsi"/>
          <w:b/>
          <w:color w:val="auto"/>
        </w:rPr>
      </w:pPr>
      <w:r w:rsidRPr="0079565B">
        <w:rPr>
          <w:rFonts w:asciiTheme="majorHAnsi" w:hAnsiTheme="majorHAnsi" w:cstheme="majorHAnsi"/>
          <w:b/>
          <w:color w:val="auto"/>
        </w:rPr>
        <w:t>1</w:t>
      </w:r>
      <w:r w:rsidR="007253EC" w:rsidRPr="002A2E9C">
        <w:rPr>
          <w:rFonts w:asciiTheme="majorHAnsi" w:hAnsiTheme="majorHAnsi" w:cstheme="majorHAnsi"/>
          <w:b/>
          <w:color w:val="auto"/>
        </w:rPr>
        <w:t xml:space="preserve">. </w:t>
      </w:r>
      <w:r w:rsidR="00080100" w:rsidRPr="0079565B">
        <w:rPr>
          <w:rFonts w:asciiTheme="majorHAnsi" w:hAnsiTheme="majorHAnsi" w:cstheme="majorHAnsi"/>
          <w:b/>
          <w:color w:val="auto"/>
        </w:rPr>
        <w:t>Về d</w:t>
      </w:r>
      <w:r w:rsidR="00223B22" w:rsidRPr="002A2E9C">
        <w:rPr>
          <w:rFonts w:asciiTheme="majorHAnsi" w:hAnsiTheme="majorHAnsi" w:cstheme="majorHAnsi"/>
          <w:b/>
          <w:color w:val="auto"/>
        </w:rPr>
        <w:t xml:space="preserve">ự </w:t>
      </w:r>
      <w:r w:rsidR="007253EC" w:rsidRPr="002A2E9C">
        <w:rPr>
          <w:rFonts w:asciiTheme="majorHAnsi" w:hAnsiTheme="majorHAnsi" w:cstheme="majorHAnsi"/>
          <w:b/>
          <w:color w:val="auto"/>
        </w:rPr>
        <w:t xml:space="preserve">thảo nghị quyết </w:t>
      </w:r>
      <w:r w:rsidR="007F78AF" w:rsidRPr="0079565B">
        <w:rPr>
          <w:rFonts w:asciiTheme="majorHAnsi" w:hAnsiTheme="majorHAnsi" w:cstheme="majorHAnsi"/>
          <w:b/>
          <w:color w:val="auto"/>
        </w:rPr>
        <w:t>và những vấn đề còn có ý kiến khác nhau</w:t>
      </w:r>
    </w:p>
    <w:p w14:paraId="30A6F60A" w14:textId="4528BB34" w:rsidR="007253EC" w:rsidRPr="002A2E9C" w:rsidRDefault="00C963E5" w:rsidP="003A17AF">
      <w:pPr>
        <w:spacing w:before="60" w:after="60" w:line="252" w:lineRule="auto"/>
        <w:ind w:firstLine="709"/>
        <w:jc w:val="both"/>
        <w:rPr>
          <w:rFonts w:asciiTheme="majorHAnsi" w:hAnsiTheme="majorHAnsi" w:cstheme="majorHAnsi"/>
          <w:b/>
        </w:rPr>
      </w:pPr>
      <w:r w:rsidRPr="0079565B">
        <w:rPr>
          <w:rFonts w:asciiTheme="majorHAnsi" w:hAnsiTheme="majorHAnsi" w:cstheme="majorHAnsi"/>
          <w:b/>
        </w:rPr>
        <w:t>1</w:t>
      </w:r>
      <w:r w:rsidR="00080100" w:rsidRPr="0079565B">
        <w:rPr>
          <w:rFonts w:asciiTheme="majorHAnsi" w:hAnsiTheme="majorHAnsi" w:cstheme="majorHAnsi"/>
          <w:b/>
        </w:rPr>
        <w:t>.</w:t>
      </w:r>
      <w:r w:rsidR="007253EC" w:rsidRPr="002A2E9C">
        <w:rPr>
          <w:rFonts w:asciiTheme="majorHAnsi" w:hAnsiTheme="majorHAnsi" w:cstheme="majorHAnsi"/>
          <w:b/>
        </w:rPr>
        <w:t xml:space="preserve">1. </w:t>
      </w:r>
      <w:r w:rsidR="00AF2F70" w:rsidRPr="002A2E9C">
        <w:rPr>
          <w:rFonts w:asciiTheme="majorHAnsi" w:hAnsiTheme="majorHAnsi" w:cstheme="majorHAnsi"/>
          <w:b/>
        </w:rPr>
        <w:t>Nội dung của dự thảo nghị quyết</w:t>
      </w:r>
    </w:p>
    <w:p w14:paraId="16F3D3B9" w14:textId="41638A0E" w:rsidR="007B5BCB" w:rsidRPr="0079565B" w:rsidRDefault="00C04EF9" w:rsidP="003A17AF">
      <w:pPr>
        <w:spacing w:before="60" w:after="60" w:line="252" w:lineRule="auto"/>
        <w:ind w:firstLine="709"/>
        <w:jc w:val="both"/>
        <w:rPr>
          <w:rFonts w:asciiTheme="majorHAnsi" w:hAnsiTheme="majorHAnsi" w:cstheme="majorHAnsi"/>
        </w:rPr>
      </w:pPr>
      <w:r w:rsidRPr="0079565B">
        <w:rPr>
          <w:rFonts w:asciiTheme="majorHAnsi" w:hAnsiTheme="majorHAnsi" w:cstheme="majorHAnsi"/>
        </w:rPr>
        <w:t>Căn cứ quy định tại</w:t>
      </w:r>
      <w:r w:rsidR="008B6B4A" w:rsidRPr="002A2E9C">
        <w:rPr>
          <w:rFonts w:asciiTheme="majorHAnsi" w:hAnsiTheme="majorHAnsi" w:cstheme="majorHAnsi"/>
        </w:rPr>
        <w:t xml:space="preserve"> </w:t>
      </w:r>
      <w:r w:rsidR="00944567" w:rsidRPr="002A2E9C">
        <w:rPr>
          <w:rFonts w:asciiTheme="majorHAnsi" w:hAnsiTheme="majorHAnsi" w:cstheme="majorHAnsi"/>
        </w:rPr>
        <w:t>Thông tư số 37/2018/TT-BYT ngày 30/11/2018 của Bộ trưởng Bộ Y tế quy định mức tối đa khung giá dịch vụ khám bệnh, chữa bệnh không thuộc phạm vi thanh toán của Quỹ bảo hiểm y tế trong các cơ sở khám bệnh, chữa bệnh của Nhà nước và hướng dẫn áp dụng giá, thanh toán chi phí khám bệnh, chữa bệnh trong một số trường hợp</w:t>
      </w:r>
      <w:r w:rsidR="008B6B4A" w:rsidRPr="002A2E9C">
        <w:rPr>
          <w:rFonts w:asciiTheme="majorHAnsi" w:hAnsiTheme="majorHAnsi" w:cstheme="majorHAnsi"/>
        </w:rPr>
        <w:t xml:space="preserve">, </w:t>
      </w:r>
      <w:r w:rsidR="00EB549C" w:rsidRPr="0079565B">
        <w:rPr>
          <w:rFonts w:asciiTheme="majorHAnsi" w:hAnsiTheme="majorHAnsi" w:cstheme="majorHAnsi"/>
        </w:rPr>
        <w:t>Hội đồng nhân dân tỉnh</w:t>
      </w:r>
      <w:r w:rsidR="007B5BCB" w:rsidRPr="0079565B">
        <w:rPr>
          <w:rFonts w:asciiTheme="majorHAnsi" w:hAnsiTheme="majorHAnsi" w:cstheme="majorHAnsi"/>
        </w:rPr>
        <w:t xml:space="preserve"> đã</w:t>
      </w:r>
      <w:r w:rsidR="00EB549C" w:rsidRPr="0079565B">
        <w:rPr>
          <w:rFonts w:asciiTheme="majorHAnsi" w:hAnsiTheme="majorHAnsi" w:cstheme="majorHAnsi"/>
        </w:rPr>
        <w:t xml:space="preserve"> ban hành Nghị quyết số 19/2019/NQ-HĐND </w:t>
      </w:r>
      <w:r w:rsidR="007B5BCB" w:rsidRPr="0079565B">
        <w:rPr>
          <w:rFonts w:asciiTheme="majorHAnsi" w:hAnsiTheme="majorHAnsi" w:cstheme="majorHAnsi"/>
        </w:rPr>
        <w:t xml:space="preserve">ngày 18/7/2019 </w:t>
      </w:r>
      <w:r w:rsidR="00EB549C" w:rsidRPr="0079565B">
        <w:rPr>
          <w:rFonts w:asciiTheme="majorHAnsi" w:hAnsiTheme="majorHAnsi" w:cstheme="majorHAnsi"/>
        </w:rPr>
        <w:t xml:space="preserve">về việc </w:t>
      </w:r>
      <w:r w:rsidRPr="0079565B">
        <w:rPr>
          <w:rFonts w:asciiTheme="majorHAnsi" w:hAnsiTheme="majorHAnsi" w:cstheme="majorHAnsi"/>
        </w:rPr>
        <w:t>quy định mức giá dịch vụ khám bệnh, chữa bệnh không thuộc phạm vi thanh toán của Quỹ bảo hiểm y tế trong các c</w:t>
      </w:r>
      <w:r w:rsidRPr="0079565B">
        <w:rPr>
          <w:rFonts w:asciiTheme="majorHAnsi" w:hAnsiTheme="majorHAnsi" w:cstheme="majorHAnsi" w:hint="eastAsia"/>
        </w:rPr>
        <w:t>ơ</w:t>
      </w:r>
      <w:r w:rsidRPr="0079565B">
        <w:rPr>
          <w:rFonts w:asciiTheme="majorHAnsi" w:hAnsiTheme="majorHAnsi" w:cstheme="majorHAnsi"/>
        </w:rPr>
        <w:t xml:space="preserve"> sở khám bệnh, chữa bệnh của Nhà n</w:t>
      </w:r>
      <w:r w:rsidRPr="0079565B">
        <w:rPr>
          <w:rFonts w:asciiTheme="majorHAnsi" w:hAnsiTheme="majorHAnsi" w:cstheme="majorHAnsi" w:hint="eastAsia"/>
        </w:rPr>
        <w:t>ư</w:t>
      </w:r>
      <w:r w:rsidRPr="0079565B">
        <w:rPr>
          <w:rFonts w:asciiTheme="majorHAnsi" w:hAnsiTheme="majorHAnsi" w:cstheme="majorHAnsi"/>
        </w:rPr>
        <w:t>ớc trên địa bàn tỉnh Kon Tum</w:t>
      </w:r>
      <w:r w:rsidR="007B5BCB" w:rsidRPr="0079565B">
        <w:rPr>
          <w:rFonts w:asciiTheme="majorHAnsi" w:hAnsiTheme="majorHAnsi" w:cstheme="majorHAnsi"/>
        </w:rPr>
        <w:t xml:space="preserve"> tại Kỳ họp thứ 8 </w:t>
      </w:r>
      <w:r w:rsidR="007B5BCB" w:rsidRPr="0079565B">
        <w:rPr>
          <w:rFonts w:asciiTheme="majorHAnsi" w:hAnsiTheme="majorHAnsi" w:cstheme="majorHAnsi"/>
          <w:i/>
        </w:rPr>
        <w:t>(viết tắt là Nghị quyết số 19/2019/NQ-HĐND)</w:t>
      </w:r>
      <w:r w:rsidRPr="0079565B">
        <w:rPr>
          <w:rFonts w:asciiTheme="majorHAnsi" w:hAnsiTheme="majorHAnsi" w:cstheme="majorHAnsi"/>
        </w:rPr>
        <w:t>.</w:t>
      </w:r>
      <w:r w:rsidR="00EB549C" w:rsidRPr="0079565B">
        <w:rPr>
          <w:rFonts w:asciiTheme="majorHAnsi" w:hAnsiTheme="majorHAnsi" w:cstheme="majorHAnsi"/>
        </w:rPr>
        <w:t xml:space="preserve"> </w:t>
      </w:r>
    </w:p>
    <w:p w14:paraId="5C6B98EB" w14:textId="5B318FFE" w:rsidR="007B5BCB" w:rsidRPr="002A2E9C" w:rsidRDefault="00EB549C" w:rsidP="003A17AF">
      <w:pPr>
        <w:spacing w:before="60" w:after="60" w:line="252" w:lineRule="auto"/>
        <w:ind w:firstLine="709"/>
        <w:jc w:val="both"/>
        <w:rPr>
          <w:rFonts w:asciiTheme="majorHAnsi" w:hAnsiTheme="majorHAnsi" w:cstheme="majorHAnsi"/>
        </w:rPr>
      </w:pPr>
      <w:r w:rsidRPr="0079565B">
        <w:rPr>
          <w:rFonts w:asciiTheme="majorHAnsi" w:hAnsiTheme="majorHAnsi" w:cstheme="majorHAnsi"/>
        </w:rPr>
        <w:t xml:space="preserve">Tuy nhiên, </w:t>
      </w:r>
      <w:r w:rsidR="007B5BCB" w:rsidRPr="0079565B">
        <w:rPr>
          <w:rFonts w:asciiTheme="majorHAnsi" w:hAnsiTheme="majorHAnsi" w:cstheme="majorHAnsi"/>
        </w:rPr>
        <w:t xml:space="preserve">để triển khai thực hiện điều chỉnh giá dịch vụ khám chữa bệnh </w:t>
      </w:r>
      <w:r w:rsidR="00F876B0" w:rsidRPr="0079565B">
        <w:rPr>
          <w:rFonts w:asciiTheme="majorHAnsi" w:hAnsiTheme="majorHAnsi" w:cstheme="majorHAnsi"/>
        </w:rPr>
        <w:t xml:space="preserve">đảm bảo lộ trình và </w:t>
      </w:r>
      <w:r w:rsidR="007B5BCB" w:rsidRPr="0079565B">
        <w:rPr>
          <w:rFonts w:asciiTheme="majorHAnsi" w:hAnsiTheme="majorHAnsi" w:cstheme="majorHAnsi"/>
        </w:rPr>
        <w:t>chỉ đạo của Chính phủ</w:t>
      </w:r>
      <w:r w:rsidRPr="0079565B">
        <w:rPr>
          <w:rFonts w:asciiTheme="majorHAnsi" w:hAnsiTheme="majorHAnsi" w:cstheme="majorHAnsi"/>
          <w:vertAlign w:val="superscript"/>
        </w:rPr>
        <w:t>(</w:t>
      </w:r>
      <w:r w:rsidRPr="002A2E9C">
        <w:rPr>
          <w:rStyle w:val="FootnoteReference"/>
          <w:rFonts w:asciiTheme="majorHAnsi" w:hAnsiTheme="majorHAnsi" w:cstheme="majorHAnsi"/>
          <w:lang w:val="en-US"/>
        </w:rPr>
        <w:footnoteReference w:id="2"/>
      </w:r>
      <w:r w:rsidRPr="0079565B">
        <w:rPr>
          <w:rFonts w:asciiTheme="majorHAnsi" w:hAnsiTheme="majorHAnsi" w:cstheme="majorHAnsi"/>
          <w:vertAlign w:val="superscript"/>
        </w:rPr>
        <w:t>)</w:t>
      </w:r>
      <w:r w:rsidRPr="0079565B">
        <w:rPr>
          <w:rFonts w:asciiTheme="majorHAnsi" w:hAnsiTheme="majorHAnsi" w:cstheme="majorHAnsi"/>
        </w:rPr>
        <w:t>,</w:t>
      </w:r>
      <w:r w:rsidR="009516C3" w:rsidRPr="0079565B">
        <w:rPr>
          <w:rFonts w:asciiTheme="majorHAnsi" w:hAnsiTheme="majorHAnsi" w:cstheme="majorHAnsi"/>
        </w:rPr>
        <w:t xml:space="preserve"> </w:t>
      </w:r>
      <w:r w:rsidRPr="0079565B">
        <w:rPr>
          <w:rFonts w:asciiTheme="majorHAnsi" w:hAnsiTheme="majorHAnsi" w:cstheme="majorHAnsi"/>
        </w:rPr>
        <w:t xml:space="preserve">ngày </w:t>
      </w:r>
      <w:r w:rsidR="007B5BCB" w:rsidRPr="0079565B">
        <w:rPr>
          <w:rFonts w:asciiTheme="majorHAnsi" w:hAnsiTheme="majorHAnsi" w:cstheme="majorHAnsi"/>
        </w:rPr>
        <w:t>05/7/2019,</w:t>
      </w:r>
      <w:r w:rsidRPr="0079565B">
        <w:rPr>
          <w:rFonts w:asciiTheme="majorHAnsi" w:hAnsiTheme="majorHAnsi" w:cstheme="majorHAnsi"/>
        </w:rPr>
        <w:t xml:space="preserve"> Bộ</w:t>
      </w:r>
      <w:r w:rsidR="007B5BCB" w:rsidRPr="0079565B">
        <w:rPr>
          <w:rFonts w:asciiTheme="majorHAnsi" w:hAnsiTheme="majorHAnsi" w:cstheme="majorHAnsi"/>
        </w:rPr>
        <w:t xml:space="preserve"> trưởng Bộ</w:t>
      </w:r>
      <w:r w:rsidRPr="0079565B">
        <w:rPr>
          <w:rFonts w:asciiTheme="majorHAnsi" w:hAnsiTheme="majorHAnsi" w:cstheme="majorHAnsi"/>
        </w:rPr>
        <w:t xml:space="preserve"> Y tế ban hành Thông tư </w:t>
      </w:r>
      <w:r w:rsidR="007B5BCB" w:rsidRPr="0079565B">
        <w:rPr>
          <w:rFonts w:asciiTheme="majorHAnsi" w:hAnsiTheme="majorHAnsi" w:cstheme="majorHAnsi"/>
        </w:rPr>
        <w:t>số 14/2019/TT-BYT về việc sửa đổi, bổ sung một số điều của Thông t</w:t>
      </w:r>
      <w:r w:rsidR="007B5BCB" w:rsidRPr="0079565B">
        <w:rPr>
          <w:rFonts w:asciiTheme="majorHAnsi" w:hAnsiTheme="majorHAnsi" w:cstheme="majorHAnsi" w:hint="eastAsia"/>
        </w:rPr>
        <w:t>ư</w:t>
      </w:r>
      <w:r w:rsidR="007B5BCB" w:rsidRPr="0079565B">
        <w:rPr>
          <w:rFonts w:asciiTheme="majorHAnsi" w:hAnsiTheme="majorHAnsi" w:cstheme="majorHAnsi"/>
        </w:rPr>
        <w:t xml:space="preserve"> số 37/2018/TT-BYT ngày 30 tháng 11 năm 2018 của Bộ tr</w:t>
      </w:r>
      <w:r w:rsidR="007B5BCB" w:rsidRPr="0079565B">
        <w:rPr>
          <w:rFonts w:asciiTheme="majorHAnsi" w:hAnsiTheme="majorHAnsi" w:cstheme="majorHAnsi" w:hint="eastAsia"/>
        </w:rPr>
        <w:t>ư</w:t>
      </w:r>
      <w:r w:rsidR="007B5BCB" w:rsidRPr="0079565B">
        <w:rPr>
          <w:rFonts w:asciiTheme="majorHAnsi" w:hAnsiTheme="majorHAnsi" w:cstheme="majorHAnsi"/>
        </w:rPr>
        <w:t>ởng Bộ Y tế quy định mức tối đa khung giá dịch vụ khám bệnh, chữa bệnh không thuộc phạm vi thanh toán của Quỹ bảo hiểm y tế trong các c</w:t>
      </w:r>
      <w:r w:rsidR="007B5BCB" w:rsidRPr="0079565B">
        <w:rPr>
          <w:rFonts w:asciiTheme="majorHAnsi" w:hAnsiTheme="majorHAnsi" w:cstheme="majorHAnsi" w:hint="eastAsia"/>
        </w:rPr>
        <w:t>ơ</w:t>
      </w:r>
      <w:r w:rsidR="007B5BCB" w:rsidRPr="0079565B">
        <w:rPr>
          <w:rFonts w:asciiTheme="majorHAnsi" w:hAnsiTheme="majorHAnsi" w:cstheme="majorHAnsi"/>
        </w:rPr>
        <w:t xml:space="preserve"> sở khám bệnh, chữa bệnh của </w:t>
      </w:r>
      <w:r w:rsidR="007B5BCB" w:rsidRPr="0079565B">
        <w:rPr>
          <w:rFonts w:asciiTheme="majorHAnsi" w:hAnsiTheme="majorHAnsi" w:cstheme="majorHAnsi"/>
        </w:rPr>
        <w:lastRenderedPageBreak/>
        <w:t>Nhà n</w:t>
      </w:r>
      <w:r w:rsidR="007B5BCB" w:rsidRPr="0079565B">
        <w:rPr>
          <w:rFonts w:asciiTheme="majorHAnsi" w:hAnsiTheme="majorHAnsi" w:cstheme="majorHAnsi" w:hint="eastAsia"/>
        </w:rPr>
        <w:t>ư</w:t>
      </w:r>
      <w:r w:rsidR="007B5BCB" w:rsidRPr="0079565B">
        <w:rPr>
          <w:rFonts w:asciiTheme="majorHAnsi" w:hAnsiTheme="majorHAnsi" w:cstheme="majorHAnsi"/>
        </w:rPr>
        <w:t>ớc và h</w:t>
      </w:r>
      <w:r w:rsidR="007B5BCB" w:rsidRPr="0079565B">
        <w:rPr>
          <w:rFonts w:asciiTheme="majorHAnsi" w:hAnsiTheme="majorHAnsi" w:cstheme="majorHAnsi" w:hint="eastAsia"/>
        </w:rPr>
        <w:t>ư</w:t>
      </w:r>
      <w:r w:rsidR="007B5BCB" w:rsidRPr="0079565B">
        <w:rPr>
          <w:rFonts w:asciiTheme="majorHAnsi" w:hAnsiTheme="majorHAnsi" w:cstheme="majorHAnsi"/>
        </w:rPr>
        <w:t>ớng dẫn áp dụng giá, thanh toán chi phí khám bệnh, chữa bệnh trong một số tr</w:t>
      </w:r>
      <w:r w:rsidR="007B5BCB" w:rsidRPr="0079565B">
        <w:rPr>
          <w:rFonts w:asciiTheme="majorHAnsi" w:hAnsiTheme="majorHAnsi" w:cstheme="majorHAnsi" w:hint="eastAsia"/>
        </w:rPr>
        <w:t>ư</w:t>
      </w:r>
      <w:r w:rsidR="007B5BCB" w:rsidRPr="0079565B">
        <w:rPr>
          <w:rFonts w:asciiTheme="majorHAnsi" w:hAnsiTheme="majorHAnsi" w:cstheme="majorHAnsi"/>
        </w:rPr>
        <w:t xml:space="preserve">ờng hợp </w:t>
      </w:r>
      <w:r w:rsidR="007B5BCB" w:rsidRPr="0079565B">
        <w:rPr>
          <w:rFonts w:asciiTheme="majorHAnsi" w:hAnsiTheme="majorHAnsi" w:cstheme="majorHAnsi"/>
          <w:i/>
        </w:rPr>
        <w:t>(viết tắt là Thông tư số 14/2019/TT-BYT)</w:t>
      </w:r>
      <w:r w:rsidR="007B5BCB" w:rsidRPr="0079565B">
        <w:rPr>
          <w:rFonts w:asciiTheme="majorHAnsi" w:hAnsiTheme="majorHAnsi" w:cstheme="majorHAnsi"/>
        </w:rPr>
        <w:t xml:space="preserve">; </w:t>
      </w:r>
      <w:r w:rsidRPr="0079565B">
        <w:rPr>
          <w:rFonts w:asciiTheme="majorHAnsi" w:hAnsiTheme="majorHAnsi" w:cstheme="majorHAnsi"/>
        </w:rPr>
        <w:t>theo đó, Bộ Y tế đã</w:t>
      </w:r>
      <w:r w:rsidR="007B5BCB" w:rsidRPr="0079565B">
        <w:rPr>
          <w:rFonts w:asciiTheme="majorHAnsi" w:hAnsiTheme="majorHAnsi" w:cstheme="majorHAnsi"/>
        </w:rPr>
        <w:t xml:space="preserve"> đề nghị </w:t>
      </w:r>
      <w:r w:rsidR="007B5BCB" w:rsidRPr="002A2E9C">
        <w:rPr>
          <w:rFonts w:asciiTheme="majorHAnsi" w:hAnsiTheme="majorHAnsi" w:cstheme="majorHAnsi"/>
        </w:rPr>
        <w:t xml:space="preserve">Ủy ban nhân dân </w:t>
      </w:r>
      <w:r w:rsidR="007B5BCB" w:rsidRPr="0079565B">
        <w:rPr>
          <w:rFonts w:asciiTheme="majorHAnsi" w:hAnsiTheme="majorHAnsi" w:cstheme="majorHAnsi"/>
        </w:rPr>
        <w:t xml:space="preserve">tỉnh báo cáo </w:t>
      </w:r>
      <w:r w:rsidR="007B5BCB" w:rsidRPr="002A2E9C">
        <w:rPr>
          <w:rFonts w:asciiTheme="majorHAnsi" w:hAnsiTheme="majorHAnsi" w:cstheme="majorHAnsi"/>
        </w:rPr>
        <w:t xml:space="preserve">Hội đồng nhân dân </w:t>
      </w:r>
      <w:r w:rsidR="007B5BCB" w:rsidRPr="0079565B">
        <w:rPr>
          <w:rFonts w:asciiTheme="majorHAnsi" w:hAnsiTheme="majorHAnsi" w:cstheme="majorHAnsi"/>
        </w:rPr>
        <w:t>tỉnh xem xét áp dụng mức giá cho đối t</w:t>
      </w:r>
      <w:r w:rsidR="007B5BCB" w:rsidRPr="0079565B">
        <w:rPr>
          <w:rFonts w:asciiTheme="majorHAnsi" w:hAnsiTheme="majorHAnsi" w:cstheme="majorHAnsi" w:hint="eastAsia"/>
        </w:rPr>
        <w:t>ư</w:t>
      </w:r>
      <w:r w:rsidR="007B5BCB" w:rsidRPr="0079565B">
        <w:rPr>
          <w:rFonts w:asciiTheme="majorHAnsi" w:hAnsiTheme="majorHAnsi" w:cstheme="majorHAnsi"/>
        </w:rPr>
        <w:t xml:space="preserve">ợng không thanh toán từ quỹ </w:t>
      </w:r>
      <w:r w:rsidR="007B5BCB" w:rsidRPr="002A2E9C">
        <w:rPr>
          <w:rFonts w:asciiTheme="majorHAnsi" w:hAnsiTheme="majorHAnsi" w:cstheme="majorHAnsi"/>
        </w:rPr>
        <w:t xml:space="preserve">bảo hiểm y tế </w:t>
      </w:r>
      <w:r w:rsidR="007B5BCB" w:rsidRPr="0079565B">
        <w:rPr>
          <w:rFonts w:asciiTheme="majorHAnsi" w:hAnsiTheme="majorHAnsi" w:cstheme="majorHAnsi"/>
        </w:rPr>
        <w:t>theo quy định tại Thông t</w:t>
      </w:r>
      <w:r w:rsidR="007B5BCB" w:rsidRPr="0079565B">
        <w:rPr>
          <w:rFonts w:asciiTheme="majorHAnsi" w:hAnsiTheme="majorHAnsi" w:cstheme="majorHAnsi" w:hint="eastAsia"/>
        </w:rPr>
        <w:t>ư</w:t>
      </w:r>
      <w:r w:rsidR="007B5BCB" w:rsidRPr="0079565B">
        <w:rPr>
          <w:rFonts w:asciiTheme="majorHAnsi" w:hAnsiTheme="majorHAnsi" w:cstheme="majorHAnsi"/>
        </w:rPr>
        <w:t xml:space="preserve"> số 14/2019/TT-BYT trong năm 2019</w:t>
      </w:r>
      <w:r w:rsidR="007B5BCB" w:rsidRPr="0079565B">
        <w:rPr>
          <w:rFonts w:asciiTheme="majorHAnsi" w:hAnsiTheme="majorHAnsi" w:cstheme="majorHAnsi"/>
          <w:vertAlign w:val="superscript"/>
        </w:rPr>
        <w:t>(</w:t>
      </w:r>
      <w:r w:rsidR="007B5BCB" w:rsidRPr="002A2E9C">
        <w:rPr>
          <w:rStyle w:val="FootnoteReference"/>
          <w:rFonts w:asciiTheme="majorHAnsi" w:hAnsiTheme="majorHAnsi" w:cstheme="majorHAnsi"/>
          <w:lang w:val="en-US"/>
        </w:rPr>
        <w:footnoteReference w:id="3"/>
      </w:r>
      <w:r w:rsidR="007B5BCB" w:rsidRPr="0079565B">
        <w:rPr>
          <w:rFonts w:asciiTheme="majorHAnsi" w:hAnsiTheme="majorHAnsi" w:cstheme="majorHAnsi"/>
          <w:vertAlign w:val="superscript"/>
        </w:rPr>
        <w:t>)</w:t>
      </w:r>
      <w:r w:rsidR="007B5BCB" w:rsidRPr="0079565B">
        <w:rPr>
          <w:rFonts w:asciiTheme="majorHAnsi" w:hAnsiTheme="majorHAnsi" w:cstheme="majorHAnsi"/>
        </w:rPr>
        <w:t xml:space="preserve">. Trên cơ sở đó, </w:t>
      </w:r>
      <w:r w:rsidR="007B5BCB" w:rsidRPr="002A2E9C">
        <w:rPr>
          <w:rFonts w:asciiTheme="majorHAnsi" w:hAnsiTheme="majorHAnsi" w:cstheme="majorHAnsi"/>
        </w:rPr>
        <w:t xml:space="preserve">Ủy ban nhân dân tỉnh đã giao Sở </w:t>
      </w:r>
      <w:r w:rsidR="007B5BCB" w:rsidRPr="0079565B">
        <w:rPr>
          <w:rFonts w:asciiTheme="majorHAnsi" w:hAnsiTheme="majorHAnsi" w:cstheme="majorHAnsi"/>
        </w:rPr>
        <w:t>Y tế</w:t>
      </w:r>
      <w:r w:rsidR="007B5BCB" w:rsidRPr="002A2E9C">
        <w:rPr>
          <w:rFonts w:asciiTheme="majorHAnsi" w:hAnsiTheme="majorHAnsi" w:cstheme="majorHAnsi"/>
        </w:rPr>
        <w:t xml:space="preserve"> chủ trì, phối hợp với các cơ quan có liên quan xây dựng</w:t>
      </w:r>
      <w:r w:rsidR="007B5BCB" w:rsidRPr="002A2E9C">
        <w:rPr>
          <w:rFonts w:asciiTheme="majorHAnsi" w:hAnsiTheme="majorHAnsi"/>
        </w:rPr>
        <w:t xml:space="preserve"> </w:t>
      </w:r>
      <w:r w:rsidR="007B5BCB" w:rsidRPr="002A2E9C">
        <w:rPr>
          <w:rFonts w:asciiTheme="majorHAnsi" w:hAnsiTheme="majorHAnsi" w:cstheme="majorHAnsi"/>
        </w:rPr>
        <w:t xml:space="preserve">dự thảo nghị quyết và tham mưu Ủy ban nhân dân tỉnh trình Hội đồng nhân dân tỉnh xem xét, ban hành </w:t>
      </w:r>
      <w:r w:rsidR="007B5BCB" w:rsidRPr="0079565B">
        <w:rPr>
          <w:rFonts w:asciiTheme="majorHAnsi" w:hAnsiTheme="majorHAnsi" w:cstheme="majorHAnsi"/>
        </w:rPr>
        <w:t>n</w:t>
      </w:r>
      <w:r w:rsidR="007B5BCB" w:rsidRPr="002A2E9C">
        <w:rPr>
          <w:rFonts w:asciiTheme="majorHAnsi" w:hAnsiTheme="majorHAnsi" w:cstheme="majorHAnsi"/>
        </w:rPr>
        <w:t xml:space="preserve">ghị quyết quy định mức giá dịch vụ khám bệnh, chữa bệnh không thuộc phạm vi thanh toán của </w:t>
      </w:r>
      <w:r w:rsidR="007B5BCB" w:rsidRPr="0079565B">
        <w:rPr>
          <w:rFonts w:asciiTheme="majorHAnsi" w:hAnsiTheme="majorHAnsi" w:cstheme="majorHAnsi"/>
        </w:rPr>
        <w:t>Q</w:t>
      </w:r>
      <w:r w:rsidR="007B5BCB" w:rsidRPr="002A2E9C">
        <w:rPr>
          <w:rFonts w:asciiTheme="majorHAnsi" w:hAnsiTheme="majorHAnsi" w:cstheme="majorHAnsi"/>
        </w:rPr>
        <w:t>uỹ bảo hiểm y tế trong các cơ sở khám bệnh, chữa bệnh của Nhà nước trên địa bàn tỉnh Kon Tum</w:t>
      </w:r>
      <w:r w:rsidR="007B5BCB" w:rsidRPr="0079565B">
        <w:rPr>
          <w:rFonts w:asciiTheme="majorHAnsi" w:hAnsiTheme="majorHAnsi" w:cstheme="majorHAnsi"/>
        </w:rPr>
        <w:t xml:space="preserve">, đồng thời thay thế Nghị quyết số 19/2019/NQ-HĐND của </w:t>
      </w:r>
      <w:r w:rsidR="007B5BCB" w:rsidRPr="002A2E9C">
        <w:rPr>
          <w:rFonts w:asciiTheme="majorHAnsi" w:hAnsiTheme="majorHAnsi" w:cstheme="majorHAnsi"/>
        </w:rPr>
        <w:t xml:space="preserve">Hội đồng nhân dân </w:t>
      </w:r>
      <w:r w:rsidR="007B5BCB" w:rsidRPr="0079565B">
        <w:rPr>
          <w:rFonts w:asciiTheme="majorHAnsi" w:hAnsiTheme="majorHAnsi" w:cstheme="majorHAnsi"/>
        </w:rPr>
        <w:t>tỉnh</w:t>
      </w:r>
      <w:r w:rsidR="007B5BCB" w:rsidRPr="002A2E9C">
        <w:rPr>
          <w:rFonts w:asciiTheme="majorHAnsi" w:hAnsiTheme="majorHAnsi" w:cstheme="majorHAnsi"/>
        </w:rPr>
        <w:t>, cụ thể như sau:</w:t>
      </w:r>
    </w:p>
    <w:p w14:paraId="2344606A" w14:textId="5D5DBB05" w:rsidR="00944567" w:rsidRPr="002A2E9C" w:rsidRDefault="007F62BA" w:rsidP="003A17AF">
      <w:pPr>
        <w:spacing w:before="60" w:after="60" w:line="252" w:lineRule="auto"/>
        <w:ind w:firstLine="709"/>
        <w:jc w:val="both"/>
        <w:rPr>
          <w:rFonts w:asciiTheme="majorHAnsi" w:hAnsiTheme="majorHAnsi" w:cstheme="majorHAnsi"/>
        </w:rPr>
      </w:pPr>
      <w:r w:rsidRPr="0079565B">
        <w:rPr>
          <w:rFonts w:asciiTheme="majorHAnsi" w:hAnsiTheme="majorHAnsi" w:cstheme="majorHAnsi"/>
        </w:rPr>
        <w:t xml:space="preserve">- </w:t>
      </w:r>
      <w:r w:rsidR="00944567" w:rsidRPr="002A2E9C">
        <w:rPr>
          <w:rFonts w:asciiTheme="majorHAnsi" w:hAnsiTheme="majorHAnsi" w:cstheme="majorHAnsi"/>
        </w:rPr>
        <w:t>Về mức giá dịch vụ khám bệnh, chữa bệnh:</w:t>
      </w:r>
    </w:p>
    <w:p w14:paraId="1133845F" w14:textId="0D390E6D" w:rsidR="00944567" w:rsidRPr="0079565B" w:rsidRDefault="007F62BA" w:rsidP="003A17AF">
      <w:pPr>
        <w:spacing w:before="60" w:after="60" w:line="252" w:lineRule="auto"/>
        <w:ind w:firstLine="709"/>
        <w:jc w:val="both"/>
        <w:rPr>
          <w:rFonts w:asciiTheme="majorHAnsi" w:hAnsiTheme="majorHAnsi" w:cstheme="majorHAnsi"/>
        </w:rPr>
      </w:pPr>
      <w:r w:rsidRPr="0079565B">
        <w:rPr>
          <w:rFonts w:asciiTheme="majorHAnsi" w:hAnsiTheme="majorHAnsi" w:cstheme="majorHAnsi"/>
        </w:rPr>
        <w:t>+</w:t>
      </w:r>
      <w:r w:rsidR="00944567" w:rsidRPr="002A2E9C">
        <w:rPr>
          <w:rFonts w:asciiTheme="majorHAnsi" w:hAnsiTheme="majorHAnsi" w:cstheme="majorHAnsi"/>
        </w:rPr>
        <w:t xml:space="preserve"> </w:t>
      </w:r>
      <w:r w:rsidR="005B7E3F" w:rsidRPr="0079565B">
        <w:rPr>
          <w:rFonts w:asciiTheme="majorHAnsi" w:hAnsiTheme="majorHAnsi" w:cstheme="majorHAnsi"/>
        </w:rPr>
        <w:t>Ủy ban nhân dân tỉnh đề nghị Hội đồng nhân dân tỉnh ban hành quy định m</w:t>
      </w:r>
      <w:r w:rsidR="00944567" w:rsidRPr="002A2E9C">
        <w:rPr>
          <w:rFonts w:asciiTheme="majorHAnsi" w:hAnsiTheme="majorHAnsi" w:cstheme="majorHAnsi"/>
        </w:rPr>
        <w:t xml:space="preserve">ức giá dịch vụ khám bệnh, chữa bệnh không thuộc phạm vi thanh toán của Quỹ bảo hiểm y tế trong các cơ sở khám bệnh, chữa bệnh của Nhà nước trên địa bàn tỉnh Kon Tum </w:t>
      </w:r>
      <w:r w:rsidR="00944567" w:rsidRPr="002A2E9C">
        <w:rPr>
          <w:rFonts w:asciiTheme="majorHAnsi" w:hAnsiTheme="majorHAnsi" w:cstheme="majorHAnsi"/>
          <w:b/>
        </w:rPr>
        <w:t xml:space="preserve">bằng </w:t>
      </w:r>
      <w:r w:rsidR="00726CD7" w:rsidRPr="0079565B">
        <w:rPr>
          <w:rFonts w:asciiTheme="majorHAnsi" w:hAnsiTheme="majorHAnsi" w:cstheme="majorHAnsi"/>
          <w:b/>
        </w:rPr>
        <w:t>với</w:t>
      </w:r>
      <w:r w:rsidR="00726CD7" w:rsidRPr="0079565B">
        <w:rPr>
          <w:rFonts w:asciiTheme="majorHAnsi" w:hAnsiTheme="majorHAnsi" w:cstheme="majorHAnsi"/>
        </w:rPr>
        <w:t xml:space="preserve"> </w:t>
      </w:r>
      <w:r w:rsidR="00944567" w:rsidRPr="002A2E9C">
        <w:rPr>
          <w:rFonts w:asciiTheme="majorHAnsi" w:hAnsiTheme="majorHAnsi"/>
          <w:b/>
        </w:rPr>
        <w:t>mức tối đa khung giá</w:t>
      </w:r>
      <w:r w:rsidR="00944567" w:rsidRPr="002A2E9C">
        <w:rPr>
          <w:rFonts w:asciiTheme="majorHAnsi" w:hAnsiTheme="majorHAnsi" w:cstheme="majorHAnsi"/>
        </w:rPr>
        <w:t xml:space="preserve"> </w:t>
      </w:r>
      <w:r w:rsidR="005B7E3F" w:rsidRPr="002A2E9C">
        <w:rPr>
          <w:rFonts w:asciiTheme="majorHAnsi" w:hAnsiTheme="majorHAnsi" w:cstheme="majorHAnsi"/>
        </w:rPr>
        <w:t xml:space="preserve">dịch vụ khám bệnh, chữa bệnh </w:t>
      </w:r>
      <w:r w:rsidR="00944567" w:rsidRPr="002A2E9C">
        <w:rPr>
          <w:rFonts w:asciiTheme="majorHAnsi" w:hAnsiTheme="majorHAnsi" w:cstheme="majorHAnsi"/>
        </w:rPr>
        <w:t xml:space="preserve">quy định tại </w:t>
      </w:r>
      <w:r w:rsidR="00F54207" w:rsidRPr="002A2E9C">
        <w:rPr>
          <w:rFonts w:asciiTheme="majorHAnsi" w:hAnsiTheme="majorHAnsi" w:cstheme="majorHAnsi"/>
        </w:rPr>
        <w:t>Thông t</w:t>
      </w:r>
      <w:r w:rsidR="00F54207" w:rsidRPr="002A2E9C">
        <w:rPr>
          <w:rFonts w:asciiTheme="majorHAnsi" w:hAnsiTheme="majorHAnsi" w:cstheme="majorHAnsi" w:hint="eastAsia"/>
        </w:rPr>
        <w:t>ư</w:t>
      </w:r>
      <w:r w:rsidR="00F54207" w:rsidRPr="002A2E9C">
        <w:rPr>
          <w:rFonts w:asciiTheme="majorHAnsi" w:hAnsiTheme="majorHAnsi" w:cstheme="majorHAnsi"/>
        </w:rPr>
        <w:t xml:space="preserve"> số 14/2019/TT-BYT </w:t>
      </w:r>
      <w:r w:rsidR="00F54207" w:rsidRPr="0079565B">
        <w:rPr>
          <w:rFonts w:asciiTheme="majorHAnsi" w:hAnsiTheme="majorHAnsi" w:cstheme="majorHAnsi"/>
        </w:rPr>
        <w:t xml:space="preserve">ngày 05/7/2019 </w:t>
      </w:r>
      <w:r w:rsidR="00DF291D" w:rsidRPr="002A2E9C">
        <w:rPr>
          <w:rFonts w:asciiTheme="majorHAnsi" w:hAnsiTheme="majorHAnsi" w:cstheme="majorHAnsi"/>
        </w:rPr>
        <w:t>của Bộ trưởng Bộ Y tế</w:t>
      </w:r>
      <w:r w:rsidR="00944567" w:rsidRPr="002A2E9C">
        <w:rPr>
          <w:rFonts w:asciiTheme="majorHAnsi" w:hAnsiTheme="majorHAnsi" w:cstheme="majorHAnsi"/>
        </w:rPr>
        <w:t xml:space="preserve">. </w:t>
      </w:r>
    </w:p>
    <w:p w14:paraId="024A3F4C" w14:textId="498AFD01" w:rsidR="0023441E" w:rsidRPr="0079565B" w:rsidRDefault="0023441E" w:rsidP="003A17AF">
      <w:pPr>
        <w:spacing w:before="60" w:after="60" w:line="252" w:lineRule="auto"/>
        <w:ind w:firstLine="709"/>
        <w:jc w:val="both"/>
        <w:rPr>
          <w:rFonts w:ascii="Times New Roman" w:hAnsi="Times New Roman"/>
          <w:szCs w:val="28"/>
        </w:rPr>
      </w:pPr>
      <w:r w:rsidRPr="0079565B">
        <w:rPr>
          <w:rFonts w:asciiTheme="majorHAnsi" w:hAnsiTheme="majorHAnsi" w:cstheme="majorHAnsi"/>
        </w:rPr>
        <w:t>+ Theo phân tích</w:t>
      </w:r>
      <w:r w:rsidR="007B6622" w:rsidRPr="0079565B">
        <w:rPr>
          <w:rFonts w:asciiTheme="majorHAnsi" w:hAnsiTheme="majorHAnsi" w:cstheme="majorHAnsi"/>
        </w:rPr>
        <w:t>, đánh giá</w:t>
      </w:r>
      <w:r w:rsidRPr="0079565B">
        <w:rPr>
          <w:rFonts w:asciiTheme="majorHAnsi" w:hAnsiTheme="majorHAnsi" w:cstheme="majorHAnsi"/>
        </w:rPr>
        <w:t xml:space="preserve"> của </w:t>
      </w:r>
      <w:r w:rsidR="007B6622" w:rsidRPr="0079565B">
        <w:rPr>
          <w:rFonts w:asciiTheme="majorHAnsi" w:hAnsiTheme="majorHAnsi" w:cstheme="majorHAnsi"/>
        </w:rPr>
        <w:t>Bộ Y Tế, so với mức giá tối đa quy định tại</w:t>
      </w:r>
      <w:r w:rsidRPr="0079565B">
        <w:rPr>
          <w:rFonts w:asciiTheme="majorHAnsi" w:hAnsiTheme="majorHAnsi" w:cstheme="majorHAnsi"/>
        </w:rPr>
        <w:t xml:space="preserve"> Thông t</w:t>
      </w:r>
      <w:r w:rsidRPr="0079565B">
        <w:rPr>
          <w:rFonts w:asciiTheme="majorHAnsi" w:hAnsiTheme="majorHAnsi" w:cstheme="majorHAnsi" w:hint="eastAsia"/>
        </w:rPr>
        <w:t>ư</w:t>
      </w:r>
      <w:r w:rsidRPr="0079565B">
        <w:rPr>
          <w:rFonts w:asciiTheme="majorHAnsi" w:hAnsiTheme="majorHAnsi" w:cstheme="majorHAnsi"/>
        </w:rPr>
        <w:t xml:space="preserve"> số 37/2018/TT-BYT thì mức giá </w:t>
      </w:r>
      <w:r w:rsidR="007B6622" w:rsidRPr="0079565B">
        <w:rPr>
          <w:rFonts w:asciiTheme="majorHAnsi" w:hAnsiTheme="majorHAnsi" w:cstheme="majorHAnsi"/>
        </w:rPr>
        <w:t xml:space="preserve">tối đa quy định </w:t>
      </w:r>
      <w:r w:rsidRPr="0079565B">
        <w:rPr>
          <w:rFonts w:asciiTheme="majorHAnsi" w:hAnsiTheme="majorHAnsi" w:cstheme="majorHAnsi"/>
        </w:rPr>
        <w:t>tại Thông t</w:t>
      </w:r>
      <w:r w:rsidRPr="0079565B">
        <w:rPr>
          <w:rFonts w:asciiTheme="majorHAnsi" w:hAnsiTheme="majorHAnsi" w:cstheme="majorHAnsi" w:hint="eastAsia"/>
        </w:rPr>
        <w:t>ư</w:t>
      </w:r>
      <w:r w:rsidRPr="0079565B">
        <w:rPr>
          <w:rFonts w:asciiTheme="majorHAnsi" w:hAnsiTheme="majorHAnsi" w:cstheme="majorHAnsi"/>
        </w:rPr>
        <w:t xml:space="preserve"> số 14/2019/TT-BYT không thay đổi c</w:t>
      </w:r>
      <w:r w:rsidRPr="0079565B">
        <w:rPr>
          <w:rFonts w:asciiTheme="majorHAnsi" w:hAnsiTheme="majorHAnsi" w:cstheme="majorHAnsi" w:hint="eastAsia"/>
        </w:rPr>
        <w:t>ơ</w:t>
      </w:r>
      <w:r w:rsidRPr="0079565B">
        <w:rPr>
          <w:rFonts w:asciiTheme="majorHAnsi" w:hAnsiTheme="majorHAnsi" w:cstheme="majorHAnsi"/>
        </w:rPr>
        <w:t xml:space="preserve"> cấu giá dịch vụ khám bệnh, chữa bệnh mà chỉ thay đổi mức l</w:t>
      </w:r>
      <w:r w:rsidRPr="0079565B">
        <w:rPr>
          <w:rFonts w:asciiTheme="majorHAnsi" w:hAnsiTheme="majorHAnsi" w:cstheme="majorHAnsi" w:hint="eastAsia"/>
        </w:rPr>
        <w:t>ươ</w:t>
      </w:r>
      <w:r w:rsidRPr="0079565B">
        <w:rPr>
          <w:rFonts w:asciiTheme="majorHAnsi" w:hAnsiTheme="majorHAnsi" w:cstheme="majorHAnsi"/>
        </w:rPr>
        <w:t>ng c</w:t>
      </w:r>
      <w:r w:rsidRPr="0079565B">
        <w:rPr>
          <w:rFonts w:asciiTheme="majorHAnsi" w:hAnsiTheme="majorHAnsi" w:cstheme="majorHAnsi" w:hint="eastAsia"/>
        </w:rPr>
        <w:t>ơ</w:t>
      </w:r>
      <w:r w:rsidRPr="0079565B">
        <w:rPr>
          <w:rFonts w:asciiTheme="majorHAnsi" w:hAnsiTheme="majorHAnsi" w:cstheme="majorHAnsi"/>
        </w:rPr>
        <w:t xml:space="preserve"> sở tính vào giá dịch vụ từ 1.390.000 đồng/tháng </w:t>
      </w:r>
      <w:r w:rsidRPr="0079565B">
        <w:rPr>
          <w:rFonts w:asciiTheme="majorHAnsi" w:hAnsiTheme="majorHAnsi" w:cstheme="majorHAnsi"/>
          <w:i/>
        </w:rPr>
        <w:t>(theo quy định tại Nghị định số 72/2018/NĐ-CP ngày 15/5/2018)</w:t>
      </w:r>
      <w:r w:rsidRPr="0079565B">
        <w:rPr>
          <w:rFonts w:asciiTheme="majorHAnsi" w:hAnsiTheme="majorHAnsi" w:cstheme="majorHAnsi"/>
        </w:rPr>
        <w:t xml:space="preserve"> sang mức l</w:t>
      </w:r>
      <w:r w:rsidRPr="0079565B">
        <w:rPr>
          <w:rFonts w:asciiTheme="majorHAnsi" w:hAnsiTheme="majorHAnsi" w:cstheme="majorHAnsi" w:hint="eastAsia"/>
        </w:rPr>
        <w:t>ươ</w:t>
      </w:r>
      <w:r w:rsidRPr="0079565B">
        <w:rPr>
          <w:rFonts w:asciiTheme="majorHAnsi" w:hAnsiTheme="majorHAnsi" w:cstheme="majorHAnsi"/>
        </w:rPr>
        <w:t>ng c</w:t>
      </w:r>
      <w:r w:rsidRPr="0079565B">
        <w:rPr>
          <w:rFonts w:asciiTheme="majorHAnsi" w:hAnsiTheme="majorHAnsi" w:cstheme="majorHAnsi" w:hint="eastAsia"/>
        </w:rPr>
        <w:t>ơ</w:t>
      </w:r>
      <w:r w:rsidRPr="0079565B">
        <w:rPr>
          <w:rFonts w:asciiTheme="majorHAnsi" w:hAnsiTheme="majorHAnsi" w:cstheme="majorHAnsi"/>
        </w:rPr>
        <w:t xml:space="preserve"> sở 1.490.000 đồng/tháng </w:t>
      </w:r>
      <w:r w:rsidRPr="0079565B">
        <w:rPr>
          <w:rFonts w:asciiTheme="majorHAnsi" w:hAnsiTheme="majorHAnsi" w:cstheme="majorHAnsi"/>
          <w:i/>
        </w:rPr>
        <w:t>(theo quy định tại Nghị định số 38/2019/NĐ-CP ngày 09/5/2019)</w:t>
      </w:r>
      <w:r w:rsidRPr="0079565B">
        <w:rPr>
          <w:rFonts w:asciiTheme="majorHAnsi" w:hAnsiTheme="majorHAnsi" w:cstheme="majorHAnsi"/>
        </w:rPr>
        <w:t xml:space="preserve">. </w:t>
      </w:r>
      <w:r w:rsidR="007B6622" w:rsidRPr="0079565B">
        <w:rPr>
          <w:rFonts w:asciiTheme="majorHAnsi" w:hAnsiTheme="majorHAnsi" w:cstheme="majorHAnsi"/>
        </w:rPr>
        <w:t xml:space="preserve">Theo báo cáo thuyết minh của </w:t>
      </w:r>
      <w:r w:rsidR="001F3868" w:rsidRPr="0079565B">
        <w:rPr>
          <w:rFonts w:asciiTheme="majorHAnsi" w:hAnsiTheme="majorHAnsi" w:cstheme="majorHAnsi"/>
        </w:rPr>
        <w:t>Ủy ban nhân dân</w:t>
      </w:r>
      <w:r w:rsidR="007B6622" w:rsidRPr="0079565B">
        <w:rPr>
          <w:rFonts w:asciiTheme="majorHAnsi" w:hAnsiTheme="majorHAnsi" w:cstheme="majorHAnsi"/>
        </w:rPr>
        <w:t xml:space="preserve"> tỉnh</w:t>
      </w:r>
      <w:r w:rsidR="00DE2E9E" w:rsidRPr="0079565B">
        <w:rPr>
          <w:rFonts w:asciiTheme="majorHAnsi" w:hAnsiTheme="majorHAnsi" w:cstheme="majorHAnsi"/>
        </w:rPr>
        <w:t xml:space="preserve"> </w:t>
      </w:r>
      <w:r w:rsidR="00DE2E9E" w:rsidRPr="0079565B">
        <w:rPr>
          <w:rFonts w:asciiTheme="majorHAnsi" w:hAnsiTheme="majorHAnsi" w:cstheme="majorHAnsi"/>
          <w:i/>
        </w:rPr>
        <w:t>(kèm theo Tờ trình số 141/TTr-UBND ngày 30/9/2019)</w:t>
      </w:r>
      <w:r w:rsidR="007B6622" w:rsidRPr="0079565B">
        <w:rPr>
          <w:rFonts w:asciiTheme="majorHAnsi" w:hAnsiTheme="majorHAnsi" w:cstheme="majorHAnsi"/>
        </w:rPr>
        <w:t>, mức</w:t>
      </w:r>
      <w:r w:rsidR="00DE2E9E" w:rsidRPr="0079565B">
        <w:rPr>
          <w:rFonts w:asciiTheme="majorHAnsi" w:hAnsiTheme="majorHAnsi" w:cstheme="majorHAnsi"/>
        </w:rPr>
        <w:t xml:space="preserve"> giá dịch vụ nêu</w:t>
      </w:r>
      <w:r w:rsidR="007B6622" w:rsidRPr="0079565B">
        <w:rPr>
          <w:rFonts w:asciiTheme="majorHAnsi" w:hAnsiTheme="majorHAnsi" w:cstheme="majorHAnsi"/>
        </w:rPr>
        <w:t xml:space="preserve"> tại dự thảo nghị quyết </w:t>
      </w:r>
      <w:r w:rsidR="00DE2E9E" w:rsidRPr="0079565B">
        <w:rPr>
          <w:rFonts w:asciiTheme="majorHAnsi" w:hAnsiTheme="majorHAnsi" w:cstheme="majorHAnsi"/>
        </w:rPr>
        <w:t xml:space="preserve">có mức tăng trung bình so với </w:t>
      </w:r>
      <w:r w:rsidR="007B6622" w:rsidRPr="0079565B">
        <w:rPr>
          <w:rFonts w:ascii="Times New Roman" w:hAnsi="Times New Roman"/>
          <w:szCs w:val="28"/>
        </w:rPr>
        <w:t>mức giá quy định tại Nghị quyết</w:t>
      </w:r>
      <w:r w:rsidR="007000B3" w:rsidRPr="0079565B">
        <w:rPr>
          <w:rFonts w:ascii="Times New Roman" w:hAnsi="Times New Roman"/>
          <w:szCs w:val="28"/>
        </w:rPr>
        <w:t xml:space="preserve"> số</w:t>
      </w:r>
      <w:r w:rsidR="007B6622" w:rsidRPr="0079565B">
        <w:rPr>
          <w:rFonts w:ascii="Times New Roman" w:hAnsi="Times New Roman"/>
          <w:szCs w:val="28"/>
        </w:rPr>
        <w:t xml:space="preserve"> 19/2019/NQ-HĐND ngày 18/7/2019</w:t>
      </w:r>
      <w:r w:rsidR="00DE2E9E" w:rsidRPr="0079565B">
        <w:rPr>
          <w:rFonts w:ascii="Times New Roman" w:hAnsi="Times New Roman"/>
          <w:szCs w:val="28"/>
        </w:rPr>
        <w:t xml:space="preserve"> như sau:</w:t>
      </w:r>
    </w:p>
    <w:p w14:paraId="5BCF0099" w14:textId="64B22924" w:rsidR="00DE2E9E" w:rsidRPr="0079565B" w:rsidRDefault="0060025E" w:rsidP="003A17AF">
      <w:pPr>
        <w:spacing w:before="60" w:after="60" w:line="252" w:lineRule="auto"/>
        <w:ind w:firstLine="709"/>
        <w:jc w:val="both"/>
        <w:rPr>
          <w:rFonts w:asciiTheme="majorHAnsi" w:hAnsiTheme="majorHAnsi" w:cstheme="majorHAnsi"/>
        </w:rPr>
      </w:pPr>
      <w:r w:rsidRPr="0079565B">
        <w:rPr>
          <w:rFonts w:asciiTheme="majorHAnsi" w:hAnsiTheme="majorHAnsi" w:cstheme="majorHAnsi"/>
        </w:rPr>
        <w:t>+</w:t>
      </w:r>
      <w:r w:rsidR="00DE2E9E" w:rsidRPr="0079565B">
        <w:rPr>
          <w:rFonts w:asciiTheme="majorHAnsi" w:hAnsiTheme="majorHAnsi" w:cstheme="majorHAnsi"/>
        </w:rPr>
        <w:t xml:space="preserve"> Giá dịch vụ khám bệnh, mức tăng trung bình: 6,45%;</w:t>
      </w:r>
    </w:p>
    <w:p w14:paraId="2F56E3F8" w14:textId="5695EFBF" w:rsidR="00DE2E9E" w:rsidRPr="0079565B" w:rsidRDefault="0060025E" w:rsidP="003A17AF">
      <w:pPr>
        <w:spacing w:before="60" w:after="60" w:line="252" w:lineRule="auto"/>
        <w:ind w:firstLine="709"/>
        <w:jc w:val="both"/>
        <w:rPr>
          <w:rFonts w:asciiTheme="majorHAnsi" w:hAnsiTheme="majorHAnsi" w:cstheme="majorHAnsi"/>
        </w:rPr>
      </w:pPr>
      <w:r w:rsidRPr="0079565B">
        <w:rPr>
          <w:rFonts w:asciiTheme="majorHAnsi" w:hAnsiTheme="majorHAnsi" w:cstheme="majorHAnsi"/>
        </w:rPr>
        <w:t>+</w:t>
      </w:r>
      <w:r w:rsidR="00DE2E9E" w:rsidRPr="0079565B">
        <w:rPr>
          <w:rFonts w:asciiTheme="majorHAnsi" w:hAnsiTheme="majorHAnsi" w:cstheme="majorHAnsi"/>
        </w:rPr>
        <w:t xml:space="preserve"> Giá dịch vụ ngày giường bệnh, mức tăng trung bình: 2,23%;</w:t>
      </w:r>
    </w:p>
    <w:p w14:paraId="090F4B4C" w14:textId="21E300BE" w:rsidR="00DE2E9E" w:rsidRPr="0079565B" w:rsidRDefault="0060025E" w:rsidP="003A17AF">
      <w:pPr>
        <w:spacing w:before="60" w:after="60" w:line="252" w:lineRule="auto"/>
        <w:ind w:firstLine="709"/>
        <w:jc w:val="both"/>
        <w:rPr>
          <w:rFonts w:asciiTheme="majorHAnsi" w:hAnsiTheme="majorHAnsi" w:cstheme="majorHAnsi"/>
        </w:rPr>
      </w:pPr>
      <w:r w:rsidRPr="0079565B">
        <w:rPr>
          <w:rFonts w:asciiTheme="majorHAnsi" w:hAnsiTheme="majorHAnsi" w:cstheme="majorHAnsi"/>
        </w:rPr>
        <w:t>+</w:t>
      </w:r>
      <w:r w:rsidR="00DE2E9E" w:rsidRPr="0079565B">
        <w:rPr>
          <w:rFonts w:asciiTheme="majorHAnsi" w:hAnsiTheme="majorHAnsi" w:cstheme="majorHAnsi"/>
        </w:rPr>
        <w:t xml:space="preserve"> Giá dịch vụ kỹ thuật và xét nghiệm, mức tăng trung bình: 1,04%.</w:t>
      </w:r>
    </w:p>
    <w:p w14:paraId="042B72C8" w14:textId="78F25B5A" w:rsidR="00757BE7" w:rsidRPr="0079565B" w:rsidRDefault="007F62BA" w:rsidP="003A17AF">
      <w:pPr>
        <w:spacing w:before="60" w:after="60" w:line="252" w:lineRule="auto"/>
        <w:ind w:firstLine="709"/>
        <w:jc w:val="both"/>
        <w:rPr>
          <w:rFonts w:asciiTheme="majorHAnsi" w:hAnsiTheme="majorHAnsi" w:cstheme="majorHAnsi"/>
        </w:rPr>
      </w:pPr>
      <w:r w:rsidRPr="0079565B">
        <w:rPr>
          <w:rFonts w:asciiTheme="majorHAnsi" w:hAnsiTheme="majorHAnsi" w:cstheme="majorHAnsi"/>
        </w:rPr>
        <w:t>-</w:t>
      </w:r>
      <w:r w:rsidR="00944567" w:rsidRPr="002A2E9C">
        <w:rPr>
          <w:rFonts w:asciiTheme="majorHAnsi" w:hAnsiTheme="majorHAnsi" w:cstheme="majorHAnsi"/>
        </w:rPr>
        <w:t xml:space="preserve"> Về nguyên tắc áp giá dịch vụ khám bệnh, chữa bệnh đối với một số trường hợp</w:t>
      </w:r>
      <w:r w:rsidR="003D53F9" w:rsidRPr="0079565B">
        <w:rPr>
          <w:rFonts w:asciiTheme="majorHAnsi" w:hAnsiTheme="majorHAnsi" w:cstheme="majorHAnsi"/>
        </w:rPr>
        <w:t xml:space="preserve">: </w:t>
      </w:r>
      <w:r w:rsidR="00944567" w:rsidRPr="002A2E9C">
        <w:rPr>
          <w:rFonts w:asciiTheme="majorHAnsi" w:hAnsiTheme="majorHAnsi" w:cstheme="majorHAnsi"/>
        </w:rPr>
        <w:t xml:space="preserve">Theo quy định tại điểm a, điểm b, điểm c và điểm d khoản 2 Điều 4 </w:t>
      </w:r>
      <w:r w:rsidR="008A1A69" w:rsidRPr="002A2E9C">
        <w:rPr>
          <w:rFonts w:asciiTheme="majorHAnsi" w:hAnsiTheme="majorHAnsi" w:cstheme="majorHAnsi"/>
        </w:rPr>
        <w:t>Thông tư số 37/2018/TT-BYT ngày 30/11/2018</w:t>
      </w:r>
      <w:r w:rsidR="008A1A69" w:rsidRPr="0079565B">
        <w:rPr>
          <w:rFonts w:asciiTheme="majorHAnsi" w:hAnsiTheme="majorHAnsi" w:cstheme="majorHAnsi"/>
        </w:rPr>
        <w:t>.</w:t>
      </w:r>
    </w:p>
    <w:p w14:paraId="1D0999FD" w14:textId="182E0389" w:rsidR="007F62BA" w:rsidRPr="002A2E9C" w:rsidRDefault="004D6CBD" w:rsidP="003A17AF">
      <w:pPr>
        <w:spacing w:before="60" w:after="60" w:line="252" w:lineRule="auto"/>
        <w:ind w:firstLine="709"/>
        <w:jc w:val="both"/>
        <w:rPr>
          <w:rFonts w:asciiTheme="majorHAnsi" w:hAnsiTheme="majorHAnsi" w:cstheme="majorHAnsi"/>
        </w:rPr>
      </w:pPr>
      <w:r w:rsidRPr="002A2E9C">
        <w:rPr>
          <w:rFonts w:asciiTheme="majorHAnsi" w:hAnsiTheme="majorHAnsi" w:cstheme="majorHAnsi"/>
        </w:rPr>
        <w:t>Theo quy định của Luật Khám bệnh, chữa bệnh, Luật giá, Luật Tổ chức chính quyền địa phương</w:t>
      </w:r>
      <w:r w:rsidRPr="0079565B">
        <w:rPr>
          <w:rFonts w:asciiTheme="majorHAnsi" w:hAnsiTheme="majorHAnsi" w:cstheme="majorHAnsi"/>
        </w:rPr>
        <w:t xml:space="preserve">, </w:t>
      </w:r>
      <w:r w:rsidR="007F62BA" w:rsidRPr="002A2E9C">
        <w:rPr>
          <w:rFonts w:asciiTheme="majorHAnsi" w:hAnsiTheme="majorHAnsi" w:cstheme="majorHAnsi"/>
        </w:rPr>
        <w:t xml:space="preserve">Ban Kinh tế - Ngân sách nhận thấy việc Ủy ban nhân dân tỉnh xây dựng Nghị quyết trình Hội đồng nhân dân tỉnh xem xét, </w:t>
      </w:r>
      <w:r w:rsidR="007F62BA" w:rsidRPr="0079565B">
        <w:rPr>
          <w:rFonts w:asciiTheme="majorHAnsi" w:hAnsiTheme="majorHAnsi" w:cstheme="majorHAnsi"/>
        </w:rPr>
        <w:t>quyết</w:t>
      </w:r>
      <w:r w:rsidR="007F62BA" w:rsidRPr="002A2E9C">
        <w:rPr>
          <w:rFonts w:asciiTheme="majorHAnsi" w:hAnsiTheme="majorHAnsi" w:cstheme="majorHAnsi"/>
        </w:rPr>
        <w:t xml:space="preserve"> định các nội dung trên là </w:t>
      </w:r>
      <w:r w:rsidR="009516C3" w:rsidRPr="0079565B">
        <w:rPr>
          <w:rFonts w:asciiTheme="majorHAnsi" w:hAnsiTheme="majorHAnsi" w:cstheme="majorHAnsi"/>
        </w:rPr>
        <w:t xml:space="preserve">đúng thẩm quyền theo </w:t>
      </w:r>
      <w:r w:rsidR="007F62BA" w:rsidRPr="002A2E9C">
        <w:rPr>
          <w:rFonts w:asciiTheme="majorHAnsi" w:hAnsiTheme="majorHAnsi" w:cstheme="majorHAnsi"/>
        </w:rPr>
        <w:t xml:space="preserve">quy định của pháp luật. </w:t>
      </w:r>
    </w:p>
    <w:p w14:paraId="60894950" w14:textId="5E21CCA8" w:rsidR="00DF291D" w:rsidRPr="0079565B" w:rsidRDefault="00B155ED" w:rsidP="003A17AF">
      <w:pPr>
        <w:spacing w:before="60" w:after="60" w:line="252" w:lineRule="auto"/>
        <w:ind w:firstLine="709"/>
        <w:jc w:val="both"/>
        <w:rPr>
          <w:rFonts w:asciiTheme="majorHAnsi" w:hAnsiTheme="majorHAnsi" w:cstheme="majorHAnsi"/>
        </w:rPr>
      </w:pPr>
      <w:r w:rsidRPr="0079565B">
        <w:rPr>
          <w:rFonts w:asciiTheme="majorHAnsi" w:hAnsiTheme="majorHAnsi" w:cstheme="majorHAnsi"/>
        </w:rPr>
        <w:lastRenderedPageBreak/>
        <w:t>*</w:t>
      </w:r>
      <w:r w:rsidR="007A3B1A" w:rsidRPr="0079565B">
        <w:rPr>
          <w:rFonts w:asciiTheme="majorHAnsi" w:hAnsiTheme="majorHAnsi" w:cstheme="majorHAnsi"/>
        </w:rPr>
        <w:t xml:space="preserve"> </w:t>
      </w:r>
      <w:r w:rsidRPr="0079565B">
        <w:rPr>
          <w:rFonts w:asciiTheme="majorHAnsi" w:hAnsiTheme="majorHAnsi" w:cstheme="majorHAnsi"/>
        </w:rPr>
        <w:t>Qua</w:t>
      </w:r>
      <w:r w:rsidR="007A3B1A" w:rsidRPr="0079565B">
        <w:rPr>
          <w:rFonts w:asciiTheme="majorHAnsi" w:hAnsiTheme="majorHAnsi" w:cstheme="majorHAnsi"/>
        </w:rPr>
        <w:t xml:space="preserve"> nghiên cứu nội dung dự thảo nghị quyết, Ba</w:t>
      </w:r>
      <w:r w:rsidR="00D33F2D" w:rsidRPr="0079565B">
        <w:rPr>
          <w:rFonts w:asciiTheme="majorHAnsi" w:hAnsiTheme="majorHAnsi" w:cstheme="majorHAnsi"/>
        </w:rPr>
        <w:t>n Kinh tế - Ngân sách nhận thấy</w:t>
      </w:r>
      <w:r w:rsidR="0060025E" w:rsidRPr="0079565B">
        <w:rPr>
          <w:rFonts w:asciiTheme="majorHAnsi" w:hAnsiTheme="majorHAnsi" w:cstheme="majorHAnsi"/>
        </w:rPr>
        <w:t xml:space="preserve">, </w:t>
      </w:r>
      <w:r w:rsidR="007000B3" w:rsidRPr="0079565B">
        <w:rPr>
          <w:rFonts w:asciiTheme="majorHAnsi" w:hAnsiTheme="majorHAnsi" w:cstheme="majorHAnsi"/>
        </w:rPr>
        <w:t xml:space="preserve">mức giá dịch vụ có </w:t>
      </w:r>
      <w:r w:rsidR="007000B3" w:rsidRPr="0079565B">
        <w:rPr>
          <w:rFonts w:asciiTheme="majorHAnsi" w:hAnsiTheme="majorHAnsi" w:cstheme="majorHAnsi"/>
          <w:b/>
        </w:rPr>
        <w:t>tăng hơn</w:t>
      </w:r>
      <w:r w:rsidR="007000B3" w:rsidRPr="0079565B">
        <w:rPr>
          <w:rFonts w:asciiTheme="majorHAnsi" w:hAnsiTheme="majorHAnsi" w:cstheme="majorHAnsi"/>
        </w:rPr>
        <w:t xml:space="preserve"> so với mức giá được </w:t>
      </w:r>
      <w:r w:rsidR="00C74572" w:rsidRPr="0079565B">
        <w:rPr>
          <w:rFonts w:asciiTheme="majorHAnsi" w:hAnsiTheme="majorHAnsi" w:cstheme="majorHAnsi"/>
        </w:rPr>
        <w:t>Hội đồng nhân dân</w:t>
      </w:r>
      <w:r w:rsidR="007000B3" w:rsidRPr="0079565B">
        <w:rPr>
          <w:rFonts w:asciiTheme="majorHAnsi" w:hAnsiTheme="majorHAnsi" w:cstheme="majorHAnsi"/>
        </w:rPr>
        <w:t xml:space="preserve"> tỉnh quy định tại </w:t>
      </w:r>
      <w:r w:rsidR="007000B3" w:rsidRPr="0079565B">
        <w:rPr>
          <w:rFonts w:ascii="Times New Roman" w:hAnsi="Times New Roman"/>
          <w:szCs w:val="28"/>
        </w:rPr>
        <w:t xml:space="preserve">Nghị quyết số 19/2019/NQ-HĐND ngày 18/7/2019 và </w:t>
      </w:r>
      <w:r w:rsidR="007000B3" w:rsidRPr="0079565B">
        <w:rPr>
          <w:rFonts w:ascii="Times New Roman" w:hAnsi="Times New Roman"/>
          <w:b/>
          <w:szCs w:val="28"/>
        </w:rPr>
        <w:t>bằng với</w:t>
      </w:r>
      <w:r w:rsidR="007000B3" w:rsidRPr="0079565B">
        <w:rPr>
          <w:rFonts w:ascii="Times New Roman" w:hAnsi="Times New Roman"/>
          <w:szCs w:val="28"/>
        </w:rPr>
        <w:t xml:space="preserve"> mức giá tối đa quy định tại </w:t>
      </w:r>
      <w:r w:rsidR="007000B3" w:rsidRPr="002A2E9C">
        <w:rPr>
          <w:rFonts w:asciiTheme="majorHAnsi" w:hAnsiTheme="majorHAnsi" w:cstheme="majorHAnsi"/>
        </w:rPr>
        <w:t>Thông t</w:t>
      </w:r>
      <w:r w:rsidR="007000B3" w:rsidRPr="002A2E9C">
        <w:rPr>
          <w:rFonts w:asciiTheme="majorHAnsi" w:hAnsiTheme="majorHAnsi" w:cstheme="majorHAnsi" w:hint="eastAsia"/>
        </w:rPr>
        <w:t>ư</w:t>
      </w:r>
      <w:r w:rsidR="007000B3" w:rsidRPr="002A2E9C">
        <w:rPr>
          <w:rFonts w:asciiTheme="majorHAnsi" w:hAnsiTheme="majorHAnsi" w:cstheme="majorHAnsi"/>
        </w:rPr>
        <w:t xml:space="preserve"> số 14/2019/TT-BYT </w:t>
      </w:r>
      <w:r w:rsidR="007000B3" w:rsidRPr="0079565B">
        <w:rPr>
          <w:rFonts w:asciiTheme="majorHAnsi" w:hAnsiTheme="majorHAnsi" w:cstheme="majorHAnsi"/>
        </w:rPr>
        <w:t>ngày 05/7/2019</w:t>
      </w:r>
      <w:r w:rsidR="00DF291D" w:rsidRPr="0079565B">
        <w:rPr>
          <w:rFonts w:asciiTheme="majorHAnsi" w:hAnsiTheme="majorHAnsi" w:cstheme="majorHAnsi"/>
        </w:rPr>
        <w:t xml:space="preserve">; </w:t>
      </w:r>
      <w:r w:rsidR="00DF291D" w:rsidRPr="002A2E9C">
        <w:rPr>
          <w:rFonts w:asciiTheme="majorHAnsi" w:hAnsiTheme="majorHAnsi" w:cstheme="majorHAnsi"/>
        </w:rPr>
        <w:t>đồng thời</w:t>
      </w:r>
      <w:r w:rsidR="00DF291D" w:rsidRPr="0079565B">
        <w:rPr>
          <w:rFonts w:asciiTheme="majorHAnsi" w:hAnsiTheme="majorHAnsi" w:cstheme="majorHAnsi"/>
        </w:rPr>
        <w:t>, mức giá dịch vụ trên</w:t>
      </w:r>
      <w:r w:rsidR="00DF291D" w:rsidRPr="002A2E9C">
        <w:rPr>
          <w:rFonts w:asciiTheme="majorHAnsi" w:hAnsiTheme="majorHAnsi" w:cstheme="majorHAnsi"/>
        </w:rPr>
        <w:t xml:space="preserve"> </w:t>
      </w:r>
      <w:r w:rsidR="00DF291D" w:rsidRPr="002A2E9C">
        <w:rPr>
          <w:rFonts w:asciiTheme="majorHAnsi" w:hAnsiTheme="majorHAnsi"/>
          <w:b/>
        </w:rPr>
        <w:t xml:space="preserve">bằng với </w:t>
      </w:r>
      <w:r w:rsidR="00DF291D" w:rsidRPr="002A2E9C">
        <w:rPr>
          <w:rFonts w:asciiTheme="majorHAnsi" w:hAnsiTheme="majorHAnsi"/>
        </w:rPr>
        <w:t>mức giá</w:t>
      </w:r>
      <w:r w:rsidR="00DF291D" w:rsidRPr="002A2E9C">
        <w:rPr>
          <w:rFonts w:asciiTheme="majorHAnsi" w:hAnsiTheme="majorHAnsi" w:cstheme="majorHAnsi"/>
        </w:rPr>
        <w:t xml:space="preserve"> dịch vụ khám bệnh, chữa bệnh có thẻ Bảo hiểm y tế theo quy định tại Thông t</w:t>
      </w:r>
      <w:r w:rsidR="00DF291D" w:rsidRPr="002A2E9C">
        <w:rPr>
          <w:rFonts w:asciiTheme="majorHAnsi" w:hAnsiTheme="majorHAnsi" w:cstheme="majorHAnsi" w:hint="eastAsia"/>
        </w:rPr>
        <w:t>ư</w:t>
      </w:r>
      <w:r w:rsidR="00DF291D" w:rsidRPr="002A2E9C">
        <w:rPr>
          <w:rFonts w:asciiTheme="majorHAnsi" w:hAnsiTheme="majorHAnsi" w:cstheme="majorHAnsi"/>
        </w:rPr>
        <w:t xml:space="preserve"> số 13/2019/TT-BYT </w:t>
      </w:r>
      <w:r w:rsidR="00DF291D" w:rsidRPr="0079565B">
        <w:rPr>
          <w:rFonts w:asciiTheme="majorHAnsi" w:hAnsiTheme="majorHAnsi" w:cstheme="majorHAnsi"/>
        </w:rPr>
        <w:t xml:space="preserve">ngày 05/7/2019 </w:t>
      </w:r>
      <w:r w:rsidR="00DF291D" w:rsidRPr="002A2E9C">
        <w:rPr>
          <w:rFonts w:asciiTheme="majorHAnsi" w:hAnsiTheme="majorHAnsi" w:cstheme="majorHAnsi"/>
        </w:rPr>
        <w:t>của Bộ trưởng Bộ Y tế</w:t>
      </w:r>
      <w:r w:rsidR="00DF291D" w:rsidRPr="0079565B">
        <w:rPr>
          <w:rFonts w:asciiTheme="majorHAnsi" w:hAnsiTheme="majorHAnsi" w:cstheme="majorHAnsi"/>
        </w:rPr>
        <w:t xml:space="preserve"> về việc sửa đổi, bổ sung một số Điều của Thông t</w:t>
      </w:r>
      <w:r w:rsidR="00DF291D" w:rsidRPr="0079565B">
        <w:rPr>
          <w:rFonts w:asciiTheme="majorHAnsi" w:hAnsiTheme="majorHAnsi" w:cstheme="majorHAnsi" w:hint="eastAsia"/>
        </w:rPr>
        <w:t>ư</w:t>
      </w:r>
      <w:r w:rsidR="00DF291D" w:rsidRPr="0079565B">
        <w:rPr>
          <w:rFonts w:asciiTheme="majorHAnsi" w:hAnsiTheme="majorHAnsi" w:cstheme="majorHAnsi"/>
        </w:rPr>
        <w:t xml:space="preserve"> số 39/2018/TT-BYT ngày 30/11/2018 của Bộ Y tế quy định thống nhất giá dịch vụ khám bệnh, chữa bệnh bảo hiểm y tế giữa các bệnh viện cùng hạng trên toàn quốc và h</w:t>
      </w:r>
      <w:r w:rsidR="00DF291D" w:rsidRPr="0079565B">
        <w:rPr>
          <w:rFonts w:asciiTheme="majorHAnsi" w:hAnsiTheme="majorHAnsi" w:cstheme="majorHAnsi" w:hint="eastAsia"/>
        </w:rPr>
        <w:t>ư</w:t>
      </w:r>
      <w:r w:rsidR="00DF291D" w:rsidRPr="0079565B">
        <w:rPr>
          <w:rFonts w:asciiTheme="majorHAnsi" w:hAnsiTheme="majorHAnsi" w:cstheme="majorHAnsi"/>
        </w:rPr>
        <w:t>ớng dẫn áp dụng giá, thanh toán chi phí khám bệnh, chữa bệnh trong một số tr</w:t>
      </w:r>
      <w:r w:rsidR="00DF291D" w:rsidRPr="0079565B">
        <w:rPr>
          <w:rFonts w:asciiTheme="majorHAnsi" w:hAnsiTheme="majorHAnsi" w:cstheme="majorHAnsi" w:hint="eastAsia"/>
        </w:rPr>
        <w:t>ư</w:t>
      </w:r>
      <w:r w:rsidR="00DF291D" w:rsidRPr="0079565B">
        <w:rPr>
          <w:rFonts w:asciiTheme="majorHAnsi" w:hAnsiTheme="majorHAnsi" w:cstheme="majorHAnsi"/>
        </w:rPr>
        <w:t>ờng hợp</w:t>
      </w:r>
      <w:r w:rsidR="00DF291D" w:rsidRPr="0079565B">
        <w:rPr>
          <w:rFonts w:asciiTheme="majorHAnsi" w:hAnsiTheme="majorHAnsi" w:cstheme="majorHAnsi"/>
          <w:vertAlign w:val="superscript"/>
        </w:rPr>
        <w:t>(</w:t>
      </w:r>
      <w:r w:rsidR="00DF291D" w:rsidRPr="002A2E9C">
        <w:rPr>
          <w:rStyle w:val="FootnoteReference"/>
          <w:rFonts w:asciiTheme="majorHAnsi" w:hAnsiTheme="majorHAnsi" w:cstheme="majorHAnsi"/>
        </w:rPr>
        <w:footnoteReference w:id="4"/>
      </w:r>
      <w:r w:rsidR="00DF291D" w:rsidRPr="0079565B">
        <w:rPr>
          <w:rFonts w:asciiTheme="majorHAnsi" w:hAnsiTheme="majorHAnsi" w:cstheme="majorHAnsi"/>
          <w:vertAlign w:val="superscript"/>
        </w:rPr>
        <w:t>)</w:t>
      </w:r>
      <w:r w:rsidR="007000B3" w:rsidRPr="0079565B">
        <w:rPr>
          <w:rFonts w:asciiTheme="majorHAnsi" w:hAnsiTheme="majorHAnsi" w:cstheme="majorHAnsi"/>
        </w:rPr>
        <w:t>.</w:t>
      </w:r>
      <w:r w:rsidR="00171554" w:rsidRPr="0079565B">
        <w:rPr>
          <w:rFonts w:asciiTheme="majorHAnsi" w:hAnsiTheme="majorHAnsi" w:cstheme="majorHAnsi"/>
        </w:rPr>
        <w:t xml:space="preserve"> Bên cạnh đó,</w:t>
      </w:r>
      <w:r w:rsidR="00602021" w:rsidRPr="0079565B">
        <w:rPr>
          <w:rFonts w:asciiTheme="majorHAnsi" w:hAnsiTheme="majorHAnsi" w:cstheme="majorHAnsi"/>
        </w:rPr>
        <w:t xml:space="preserve"> theo báo cáo của Sở Y tế,</w:t>
      </w:r>
      <w:r w:rsidR="00171554" w:rsidRPr="0079565B">
        <w:rPr>
          <w:rFonts w:asciiTheme="majorHAnsi" w:hAnsiTheme="majorHAnsi" w:cstheme="majorHAnsi"/>
        </w:rPr>
        <w:t xml:space="preserve"> tỷ lệ ng</w:t>
      </w:r>
      <w:r w:rsidR="00171554" w:rsidRPr="0079565B">
        <w:rPr>
          <w:rFonts w:asciiTheme="majorHAnsi" w:hAnsiTheme="majorHAnsi" w:cstheme="majorHAnsi" w:hint="eastAsia"/>
        </w:rPr>
        <w:t>ư</w:t>
      </w:r>
      <w:r w:rsidR="00171554" w:rsidRPr="0079565B">
        <w:rPr>
          <w:rFonts w:asciiTheme="majorHAnsi" w:hAnsiTheme="majorHAnsi" w:cstheme="majorHAnsi"/>
        </w:rPr>
        <w:t xml:space="preserve">ời dân tham gia BHYT hiện nay </w:t>
      </w:r>
      <w:r w:rsidR="00602021" w:rsidRPr="0079565B">
        <w:rPr>
          <w:rFonts w:asciiTheme="majorHAnsi" w:hAnsiTheme="majorHAnsi" w:cstheme="majorHAnsi"/>
        </w:rPr>
        <w:t xml:space="preserve">trên địa bàn tỉnh đạt trên </w:t>
      </w:r>
      <w:r w:rsidR="00602021" w:rsidRPr="0079565B">
        <w:rPr>
          <w:rFonts w:asciiTheme="majorHAnsi" w:hAnsiTheme="majorHAnsi"/>
          <w:b/>
        </w:rPr>
        <w:t>90%</w:t>
      </w:r>
      <w:r w:rsidR="00602021" w:rsidRPr="0079565B">
        <w:rPr>
          <w:rFonts w:asciiTheme="majorHAnsi" w:hAnsiTheme="majorHAnsi" w:cstheme="majorHAnsi"/>
        </w:rPr>
        <w:t xml:space="preserve">; tỷ lệ người không có thẻ BHYT đến </w:t>
      </w:r>
      <w:r w:rsidR="00EE6C4E" w:rsidRPr="0079565B">
        <w:rPr>
          <w:rFonts w:asciiTheme="majorHAnsi" w:hAnsiTheme="majorHAnsi" w:cstheme="majorHAnsi"/>
        </w:rPr>
        <w:t>khám bệnh, chữa bệnh</w:t>
      </w:r>
      <w:r w:rsidR="00602021" w:rsidRPr="0079565B">
        <w:rPr>
          <w:rFonts w:asciiTheme="majorHAnsi" w:hAnsiTheme="majorHAnsi" w:cstheme="majorHAnsi"/>
        </w:rPr>
        <w:t xml:space="preserve"> tại cơ sở của Nhà nước chiếm tỷ lệ rất thấ</w:t>
      </w:r>
      <w:r w:rsidR="00602021" w:rsidRPr="002A2E9C">
        <w:rPr>
          <w:rFonts w:ascii="Times New Roman" w:hAnsi="Times New Roman"/>
          <w:szCs w:val="28"/>
          <w:lang w:val="es-ES"/>
        </w:rPr>
        <w:t xml:space="preserve">p so với tổng số lượt người </w:t>
      </w:r>
      <w:r w:rsidR="00C74572" w:rsidRPr="002A2E9C">
        <w:rPr>
          <w:rFonts w:ascii="Times New Roman" w:hAnsi="Times New Roman"/>
          <w:szCs w:val="28"/>
          <w:lang w:val="es-ES"/>
        </w:rPr>
        <w:t>khám bệnh, chữa bệnh</w:t>
      </w:r>
      <w:r w:rsidR="00171554" w:rsidRPr="0079565B">
        <w:rPr>
          <w:rFonts w:asciiTheme="majorHAnsi" w:hAnsiTheme="majorHAnsi" w:cstheme="majorHAnsi"/>
        </w:rPr>
        <w:t xml:space="preserve">, vì </w:t>
      </w:r>
      <w:r w:rsidR="00602021" w:rsidRPr="0079565B">
        <w:rPr>
          <w:rFonts w:asciiTheme="majorHAnsi" w:hAnsiTheme="majorHAnsi" w:cstheme="majorHAnsi"/>
        </w:rPr>
        <w:t xml:space="preserve">vậy </w:t>
      </w:r>
      <w:r w:rsidR="00171554" w:rsidRPr="0079565B">
        <w:rPr>
          <w:rFonts w:asciiTheme="majorHAnsi" w:hAnsiTheme="majorHAnsi" w:cstheme="majorHAnsi"/>
        </w:rPr>
        <w:t xml:space="preserve">việc điều chỉnh giá dịch vụ </w:t>
      </w:r>
      <w:r w:rsidR="00171554" w:rsidRPr="0079565B">
        <w:rPr>
          <w:rFonts w:asciiTheme="majorHAnsi" w:hAnsiTheme="majorHAnsi"/>
        </w:rPr>
        <w:t>sẽ tác động không nhiều đến ng</w:t>
      </w:r>
      <w:r w:rsidR="00171554" w:rsidRPr="0079565B">
        <w:rPr>
          <w:rFonts w:asciiTheme="majorHAnsi" w:hAnsiTheme="majorHAnsi" w:hint="eastAsia"/>
        </w:rPr>
        <w:t>ư</w:t>
      </w:r>
      <w:r w:rsidR="00171554" w:rsidRPr="0079565B">
        <w:rPr>
          <w:rFonts w:asciiTheme="majorHAnsi" w:hAnsiTheme="majorHAnsi"/>
        </w:rPr>
        <w:t xml:space="preserve">ời dân </w:t>
      </w:r>
      <w:r w:rsidR="00171554" w:rsidRPr="0079565B">
        <w:rPr>
          <w:rFonts w:asciiTheme="majorHAnsi" w:hAnsiTheme="majorHAnsi" w:cstheme="majorHAnsi"/>
        </w:rPr>
        <w:t>và chỉ số giá tiêu dùng</w:t>
      </w:r>
      <w:r w:rsidR="00602021" w:rsidRPr="0079565B">
        <w:rPr>
          <w:rFonts w:asciiTheme="majorHAnsi" w:hAnsiTheme="majorHAnsi" w:cstheme="majorHAnsi"/>
        </w:rPr>
        <w:t xml:space="preserve"> trên địa bàn tỉnh</w:t>
      </w:r>
      <w:r w:rsidR="00EE6C4E" w:rsidRPr="0079565B">
        <w:rPr>
          <w:rFonts w:asciiTheme="majorHAnsi" w:hAnsiTheme="majorHAnsi" w:cstheme="majorHAnsi"/>
          <w:vertAlign w:val="superscript"/>
        </w:rPr>
        <w:t>(</w:t>
      </w:r>
      <w:r w:rsidR="00EE6C4E" w:rsidRPr="002A2E9C">
        <w:rPr>
          <w:rStyle w:val="FootnoteReference"/>
          <w:rFonts w:asciiTheme="majorHAnsi" w:hAnsiTheme="majorHAnsi" w:cstheme="majorHAnsi"/>
          <w:lang w:val="en-US"/>
        </w:rPr>
        <w:footnoteReference w:id="5"/>
      </w:r>
      <w:r w:rsidR="00EE6C4E" w:rsidRPr="0079565B">
        <w:rPr>
          <w:rFonts w:asciiTheme="majorHAnsi" w:hAnsiTheme="majorHAnsi" w:cstheme="majorHAnsi"/>
          <w:vertAlign w:val="superscript"/>
        </w:rPr>
        <w:t>)</w:t>
      </w:r>
      <w:r w:rsidR="00171554" w:rsidRPr="0079565B">
        <w:rPr>
          <w:rFonts w:asciiTheme="majorHAnsi" w:hAnsiTheme="majorHAnsi" w:cstheme="majorHAnsi"/>
        </w:rPr>
        <w:t>.</w:t>
      </w:r>
    </w:p>
    <w:p w14:paraId="650431D6" w14:textId="384052DC" w:rsidR="007253EC" w:rsidRPr="002A2E9C" w:rsidRDefault="00B155ED" w:rsidP="003A17AF">
      <w:pPr>
        <w:spacing w:before="60" w:after="60" w:line="252" w:lineRule="auto"/>
        <w:ind w:firstLine="709"/>
        <w:jc w:val="both"/>
        <w:rPr>
          <w:rFonts w:asciiTheme="majorHAnsi" w:hAnsiTheme="majorHAnsi" w:cstheme="majorHAnsi"/>
          <w:b/>
          <w:lang w:val="de-DE"/>
        </w:rPr>
      </w:pPr>
      <w:r w:rsidRPr="0079565B">
        <w:rPr>
          <w:rFonts w:asciiTheme="majorHAnsi" w:hAnsiTheme="majorHAnsi" w:cstheme="majorHAnsi"/>
          <w:b/>
          <w:shd w:val="clear" w:color="auto" w:fill="FFFFFF"/>
        </w:rPr>
        <w:t>1</w:t>
      </w:r>
      <w:r w:rsidR="00080100" w:rsidRPr="0079565B">
        <w:rPr>
          <w:rFonts w:asciiTheme="majorHAnsi" w:hAnsiTheme="majorHAnsi" w:cstheme="majorHAnsi"/>
          <w:b/>
          <w:shd w:val="clear" w:color="auto" w:fill="FFFFFF"/>
        </w:rPr>
        <w:t>.</w:t>
      </w:r>
      <w:r w:rsidRPr="0079565B">
        <w:rPr>
          <w:rFonts w:asciiTheme="majorHAnsi" w:hAnsiTheme="majorHAnsi" w:cstheme="majorHAnsi"/>
          <w:b/>
          <w:shd w:val="clear" w:color="auto" w:fill="FFFFFF"/>
        </w:rPr>
        <w:t>2</w:t>
      </w:r>
      <w:r w:rsidR="007253EC" w:rsidRPr="002A2E9C">
        <w:rPr>
          <w:rFonts w:asciiTheme="majorHAnsi" w:hAnsiTheme="majorHAnsi" w:cstheme="majorHAnsi"/>
          <w:b/>
          <w:shd w:val="clear" w:color="auto" w:fill="FFFFFF"/>
        </w:rPr>
        <w:t xml:space="preserve">. </w:t>
      </w:r>
      <w:r w:rsidR="007253EC" w:rsidRPr="002A2E9C">
        <w:rPr>
          <w:rFonts w:asciiTheme="majorHAnsi" w:hAnsiTheme="majorHAnsi" w:cstheme="majorHAnsi"/>
          <w:b/>
        </w:rPr>
        <w:t xml:space="preserve">Những </w:t>
      </w:r>
      <w:r w:rsidR="00AE7EAA" w:rsidRPr="002A2E9C">
        <w:rPr>
          <w:rFonts w:asciiTheme="majorHAnsi" w:hAnsiTheme="majorHAnsi" w:cstheme="majorHAnsi"/>
          <w:b/>
        </w:rPr>
        <w:t>vấn đề còn có ý kiến khác nhau</w:t>
      </w:r>
    </w:p>
    <w:p w14:paraId="4701BB90" w14:textId="29B0CE08" w:rsidR="0073074E" w:rsidRPr="002A2E9C" w:rsidRDefault="0073074E" w:rsidP="003A17AF">
      <w:pPr>
        <w:spacing w:before="60" w:after="60" w:line="252" w:lineRule="auto"/>
        <w:ind w:firstLine="709"/>
        <w:jc w:val="both"/>
        <w:rPr>
          <w:rFonts w:asciiTheme="majorHAnsi" w:hAnsiTheme="majorHAnsi" w:cstheme="majorHAnsi"/>
          <w:lang w:val="de-DE"/>
        </w:rPr>
      </w:pPr>
      <w:r w:rsidRPr="002A2E9C">
        <w:rPr>
          <w:rFonts w:asciiTheme="majorHAnsi" w:hAnsiTheme="majorHAnsi" w:cstheme="majorHAnsi"/>
        </w:rPr>
        <w:t>- Đối với ý kiến thẩm định của Sở Tư pháp: Có 0</w:t>
      </w:r>
      <w:r w:rsidR="005F1369" w:rsidRPr="002A2E9C">
        <w:rPr>
          <w:rFonts w:asciiTheme="majorHAnsi" w:hAnsiTheme="majorHAnsi" w:cstheme="majorHAnsi"/>
          <w:lang w:val="de-DE"/>
        </w:rPr>
        <w:t>1</w:t>
      </w:r>
      <w:r w:rsidRPr="002A2E9C">
        <w:rPr>
          <w:rFonts w:asciiTheme="majorHAnsi" w:hAnsiTheme="majorHAnsi" w:cstheme="majorHAnsi"/>
        </w:rPr>
        <w:t xml:space="preserve"> ý kiến. Đơn vị chủ trì soạn thảo </w:t>
      </w:r>
      <w:r w:rsidRPr="0079565B">
        <w:rPr>
          <w:rFonts w:asciiTheme="majorHAnsi" w:hAnsiTheme="majorHAnsi" w:cstheme="majorHAnsi"/>
        </w:rPr>
        <w:t>giải trình 01 ý kiến</w:t>
      </w:r>
      <w:r w:rsidRPr="002A2E9C">
        <w:rPr>
          <w:rFonts w:asciiTheme="majorHAnsi" w:hAnsiTheme="majorHAnsi" w:cstheme="majorHAnsi"/>
        </w:rPr>
        <w:t>.</w:t>
      </w:r>
      <w:r w:rsidRPr="002A2E9C">
        <w:rPr>
          <w:rFonts w:asciiTheme="majorHAnsi" w:hAnsiTheme="majorHAnsi" w:cstheme="majorHAnsi"/>
          <w:lang w:val="de-DE"/>
        </w:rPr>
        <w:t xml:space="preserve"> </w:t>
      </w:r>
    </w:p>
    <w:p w14:paraId="2B1E868A" w14:textId="0B13B5D7" w:rsidR="00E438AE" w:rsidRPr="002A2E9C" w:rsidRDefault="00E438AE" w:rsidP="003A17AF">
      <w:pPr>
        <w:spacing w:before="60" w:after="60" w:line="252" w:lineRule="auto"/>
        <w:ind w:firstLine="709"/>
        <w:jc w:val="both"/>
        <w:rPr>
          <w:rFonts w:asciiTheme="majorHAnsi" w:hAnsiTheme="majorHAnsi" w:cstheme="majorHAnsi"/>
          <w:lang w:val="de-DE"/>
        </w:rPr>
      </w:pPr>
      <w:r w:rsidRPr="002A2E9C">
        <w:rPr>
          <w:rFonts w:asciiTheme="majorHAnsi" w:hAnsiTheme="majorHAnsi" w:cstheme="majorHAnsi"/>
          <w:lang w:val="de-DE"/>
        </w:rPr>
        <w:t>-</w:t>
      </w:r>
      <w:r w:rsidRPr="0079565B">
        <w:rPr>
          <w:rFonts w:asciiTheme="majorHAnsi" w:hAnsiTheme="majorHAnsi" w:cstheme="majorHAnsi"/>
          <w:lang w:val="de-DE"/>
        </w:rPr>
        <w:t xml:space="preserve"> </w:t>
      </w:r>
      <w:r w:rsidRPr="002A2E9C">
        <w:rPr>
          <w:rFonts w:asciiTheme="majorHAnsi" w:hAnsiTheme="majorHAnsi" w:cstheme="majorHAnsi"/>
        </w:rPr>
        <w:t>Đối với ý kiến góp ý của các cơ quan, đơn vị</w:t>
      </w:r>
      <w:r w:rsidR="005F1369" w:rsidRPr="0079565B">
        <w:rPr>
          <w:rFonts w:asciiTheme="majorHAnsi" w:hAnsiTheme="majorHAnsi" w:cstheme="majorHAnsi"/>
          <w:lang w:val="de-DE"/>
        </w:rPr>
        <w:t>, thành viên Ủy ban nhân dân tỉnh</w:t>
      </w:r>
      <w:r w:rsidRPr="002A2E9C">
        <w:rPr>
          <w:rFonts w:asciiTheme="majorHAnsi" w:hAnsiTheme="majorHAnsi" w:cstheme="majorHAnsi"/>
        </w:rPr>
        <w:t xml:space="preserve">: </w:t>
      </w:r>
      <w:r w:rsidR="005F1369" w:rsidRPr="0079565B">
        <w:rPr>
          <w:rFonts w:asciiTheme="majorHAnsi" w:hAnsiTheme="majorHAnsi" w:cstheme="majorHAnsi"/>
          <w:lang w:val="de-DE"/>
        </w:rPr>
        <w:t xml:space="preserve">Đa số các Sở ngành, địa phương và thành viên Ủy ban nhân dân tỉnh </w:t>
      </w:r>
      <w:r w:rsidRPr="002A2E9C">
        <w:rPr>
          <w:rFonts w:asciiTheme="majorHAnsi" w:hAnsiTheme="majorHAnsi" w:cstheme="majorHAnsi"/>
          <w:lang w:val="de-DE"/>
        </w:rPr>
        <w:t>đều thống nhất như dự thảo nghị quyết.</w:t>
      </w:r>
    </w:p>
    <w:p w14:paraId="6611FE40" w14:textId="4A291198" w:rsidR="00AE7EAA" w:rsidRPr="002A2E9C" w:rsidRDefault="00AE7EAA" w:rsidP="003A17AF">
      <w:pPr>
        <w:spacing w:before="60" w:after="60" w:line="252" w:lineRule="auto"/>
        <w:ind w:firstLine="709"/>
        <w:jc w:val="both"/>
        <w:rPr>
          <w:rFonts w:asciiTheme="majorHAnsi" w:hAnsiTheme="majorHAnsi" w:cstheme="majorHAnsi"/>
        </w:rPr>
      </w:pPr>
      <w:r w:rsidRPr="002A2E9C">
        <w:rPr>
          <w:rFonts w:asciiTheme="majorHAnsi" w:hAnsiTheme="majorHAnsi" w:cstheme="majorHAnsi"/>
        </w:rPr>
        <w:t xml:space="preserve">Qua nghiên cứu nội dung tiếp thu, giải trình ý kiến tham gia của các cơ quan đơn vị, thành viên </w:t>
      </w:r>
      <w:r w:rsidR="002E5D8D" w:rsidRPr="002A2E9C">
        <w:rPr>
          <w:rFonts w:asciiTheme="majorHAnsi" w:hAnsiTheme="majorHAnsi" w:cstheme="majorHAnsi"/>
        </w:rPr>
        <w:t>Ủy ban nhân dân</w:t>
      </w:r>
      <w:r w:rsidRPr="002A2E9C">
        <w:rPr>
          <w:rFonts w:asciiTheme="majorHAnsi" w:hAnsiTheme="majorHAnsi" w:cstheme="majorHAnsi"/>
        </w:rPr>
        <w:t xml:space="preserve"> tỉnh và ý kiến thẩm định của Sở Tư pháp tại </w:t>
      </w:r>
      <w:r w:rsidR="00392F33" w:rsidRPr="002A2E9C">
        <w:rPr>
          <w:rFonts w:asciiTheme="majorHAnsi" w:hAnsiTheme="majorHAnsi" w:cstheme="majorHAnsi"/>
        </w:rPr>
        <w:t>Văn bản</w:t>
      </w:r>
      <w:r w:rsidRPr="002A2E9C">
        <w:rPr>
          <w:rFonts w:asciiTheme="majorHAnsi" w:hAnsiTheme="majorHAnsi" w:cstheme="majorHAnsi"/>
        </w:rPr>
        <w:t xml:space="preserve"> số </w:t>
      </w:r>
      <w:r w:rsidR="005F1369" w:rsidRPr="0079565B">
        <w:rPr>
          <w:rFonts w:asciiTheme="majorHAnsi" w:hAnsiTheme="majorHAnsi" w:cstheme="majorHAnsi"/>
          <w:lang w:val="de-DE"/>
        </w:rPr>
        <w:t>3399</w:t>
      </w:r>
      <w:r w:rsidR="0086765E" w:rsidRPr="002A2E9C">
        <w:rPr>
          <w:rFonts w:asciiTheme="majorHAnsi" w:hAnsiTheme="majorHAnsi" w:cstheme="majorHAnsi"/>
        </w:rPr>
        <w:t>/</w:t>
      </w:r>
      <w:r w:rsidR="00B155ED" w:rsidRPr="0079565B">
        <w:rPr>
          <w:rFonts w:asciiTheme="majorHAnsi" w:hAnsiTheme="majorHAnsi" w:cstheme="majorHAnsi"/>
          <w:lang w:val="de-DE"/>
        </w:rPr>
        <w:t>S</w:t>
      </w:r>
      <w:r w:rsidR="008D6C08" w:rsidRPr="0079565B">
        <w:rPr>
          <w:rFonts w:asciiTheme="majorHAnsi" w:hAnsiTheme="majorHAnsi" w:cstheme="majorHAnsi"/>
          <w:lang w:val="de-DE"/>
        </w:rPr>
        <w:t>YT</w:t>
      </w:r>
      <w:r w:rsidR="00B155ED" w:rsidRPr="0079565B">
        <w:rPr>
          <w:rFonts w:asciiTheme="majorHAnsi" w:hAnsiTheme="majorHAnsi" w:cstheme="majorHAnsi"/>
          <w:lang w:val="de-DE"/>
        </w:rPr>
        <w:t>-</w:t>
      </w:r>
      <w:r w:rsidR="008D6C08" w:rsidRPr="0079565B">
        <w:rPr>
          <w:rFonts w:asciiTheme="majorHAnsi" w:hAnsiTheme="majorHAnsi" w:cstheme="majorHAnsi"/>
          <w:lang w:val="de-DE"/>
        </w:rPr>
        <w:t>KHTC</w:t>
      </w:r>
      <w:r w:rsidRPr="002A2E9C">
        <w:rPr>
          <w:rFonts w:asciiTheme="majorHAnsi" w:hAnsiTheme="majorHAnsi" w:cstheme="majorHAnsi"/>
        </w:rPr>
        <w:t xml:space="preserve"> ngày </w:t>
      </w:r>
      <w:r w:rsidR="00B155ED" w:rsidRPr="0079565B">
        <w:rPr>
          <w:rFonts w:asciiTheme="majorHAnsi" w:hAnsiTheme="majorHAnsi" w:cstheme="majorHAnsi"/>
          <w:lang w:val="de-DE"/>
        </w:rPr>
        <w:t>1</w:t>
      </w:r>
      <w:r w:rsidR="005F1369" w:rsidRPr="0079565B">
        <w:rPr>
          <w:rFonts w:asciiTheme="majorHAnsi" w:hAnsiTheme="majorHAnsi" w:cstheme="majorHAnsi"/>
          <w:lang w:val="de-DE"/>
        </w:rPr>
        <w:t>5</w:t>
      </w:r>
      <w:r w:rsidRPr="002A2E9C">
        <w:rPr>
          <w:rFonts w:asciiTheme="majorHAnsi" w:hAnsiTheme="majorHAnsi" w:cstheme="majorHAnsi"/>
        </w:rPr>
        <w:t>/</w:t>
      </w:r>
      <w:r w:rsidR="005F1369" w:rsidRPr="0079565B">
        <w:rPr>
          <w:rFonts w:asciiTheme="majorHAnsi" w:hAnsiTheme="majorHAnsi" w:cstheme="majorHAnsi"/>
          <w:lang w:val="de-DE"/>
        </w:rPr>
        <w:t>10</w:t>
      </w:r>
      <w:r w:rsidRPr="002A2E9C">
        <w:rPr>
          <w:rFonts w:asciiTheme="majorHAnsi" w:hAnsiTheme="majorHAnsi" w:cstheme="majorHAnsi"/>
        </w:rPr>
        <w:t>/201</w:t>
      </w:r>
      <w:r w:rsidR="007626DA" w:rsidRPr="002A2E9C">
        <w:rPr>
          <w:rFonts w:asciiTheme="majorHAnsi" w:hAnsiTheme="majorHAnsi" w:cstheme="majorHAnsi"/>
        </w:rPr>
        <w:t>9</w:t>
      </w:r>
      <w:r w:rsidRPr="002A2E9C">
        <w:rPr>
          <w:rFonts w:asciiTheme="majorHAnsi" w:hAnsiTheme="majorHAnsi" w:cstheme="majorHAnsi"/>
        </w:rPr>
        <w:t xml:space="preserve"> của Sở </w:t>
      </w:r>
      <w:r w:rsidR="008D6C08" w:rsidRPr="0079565B">
        <w:rPr>
          <w:rFonts w:asciiTheme="majorHAnsi" w:hAnsiTheme="majorHAnsi" w:cstheme="majorHAnsi"/>
          <w:lang w:val="de-DE"/>
        </w:rPr>
        <w:t>Y Tế</w:t>
      </w:r>
      <w:r w:rsidRPr="002A2E9C">
        <w:rPr>
          <w:rFonts w:asciiTheme="majorHAnsi" w:hAnsiTheme="majorHAnsi" w:cstheme="majorHAnsi"/>
        </w:rPr>
        <w:t xml:space="preserve">, Ban nhận thấy, đơn vị chủ trì soạn thảo đã </w:t>
      </w:r>
      <w:r w:rsidR="00B155ED" w:rsidRPr="0079565B">
        <w:rPr>
          <w:rFonts w:asciiTheme="majorHAnsi" w:hAnsiTheme="majorHAnsi" w:cstheme="majorHAnsi"/>
          <w:lang w:val="de-DE"/>
        </w:rPr>
        <w:t xml:space="preserve">cơ bản đã </w:t>
      </w:r>
      <w:r w:rsidR="005F1369" w:rsidRPr="0079565B">
        <w:rPr>
          <w:rFonts w:asciiTheme="majorHAnsi" w:hAnsiTheme="majorHAnsi" w:cstheme="majorHAnsi"/>
          <w:lang w:val="de-DE"/>
        </w:rPr>
        <w:t xml:space="preserve">tiếp thu, </w:t>
      </w:r>
      <w:r w:rsidRPr="002A2E9C">
        <w:rPr>
          <w:rFonts w:asciiTheme="majorHAnsi" w:hAnsiTheme="majorHAnsi" w:cstheme="majorHAnsi"/>
        </w:rPr>
        <w:t xml:space="preserve">giải </w:t>
      </w:r>
      <w:r w:rsidR="005F1369" w:rsidRPr="002A2E9C">
        <w:rPr>
          <w:rFonts w:asciiTheme="majorHAnsi" w:hAnsiTheme="majorHAnsi" w:cstheme="majorHAnsi"/>
        </w:rPr>
        <w:t>trình</w:t>
      </w:r>
      <w:r w:rsidR="005F1369" w:rsidRPr="0079565B">
        <w:rPr>
          <w:rFonts w:asciiTheme="majorHAnsi" w:hAnsiTheme="majorHAnsi" w:cstheme="majorHAnsi"/>
          <w:lang w:val="de-DE"/>
        </w:rPr>
        <w:t xml:space="preserve"> </w:t>
      </w:r>
      <w:r w:rsidRPr="002A2E9C">
        <w:rPr>
          <w:rFonts w:asciiTheme="majorHAnsi" w:hAnsiTheme="majorHAnsi" w:cstheme="majorHAnsi"/>
        </w:rPr>
        <w:t xml:space="preserve">nghiêm túc </w:t>
      </w:r>
      <w:r w:rsidR="005F1369" w:rsidRPr="0079565B">
        <w:rPr>
          <w:rFonts w:asciiTheme="majorHAnsi" w:hAnsiTheme="majorHAnsi" w:cstheme="majorHAnsi"/>
          <w:lang w:val="de-DE"/>
        </w:rPr>
        <w:t xml:space="preserve">các </w:t>
      </w:r>
      <w:r w:rsidRPr="002A2E9C">
        <w:rPr>
          <w:rFonts w:asciiTheme="majorHAnsi" w:hAnsiTheme="majorHAnsi" w:cstheme="majorHAnsi"/>
        </w:rPr>
        <w:t>ý kiến</w:t>
      </w:r>
      <w:r w:rsidR="00B155ED" w:rsidRPr="0079565B">
        <w:rPr>
          <w:rFonts w:asciiTheme="majorHAnsi" w:hAnsiTheme="majorHAnsi" w:cstheme="majorHAnsi"/>
          <w:lang w:val="de-DE"/>
        </w:rPr>
        <w:t xml:space="preserve"> tham gia</w:t>
      </w:r>
      <w:r w:rsidRPr="002A2E9C">
        <w:rPr>
          <w:rFonts w:asciiTheme="majorHAnsi" w:hAnsiTheme="majorHAnsi" w:cstheme="majorHAnsi"/>
        </w:rPr>
        <w:t xml:space="preserve"> </w:t>
      </w:r>
      <w:r w:rsidR="00B155ED" w:rsidRPr="0079565B">
        <w:rPr>
          <w:rFonts w:asciiTheme="majorHAnsi" w:hAnsiTheme="majorHAnsi" w:cstheme="majorHAnsi"/>
          <w:lang w:val="de-DE"/>
        </w:rPr>
        <w:t xml:space="preserve">của các cơ quan, đơn vị, ý kiến </w:t>
      </w:r>
      <w:r w:rsidRPr="002A2E9C">
        <w:rPr>
          <w:rFonts w:asciiTheme="majorHAnsi" w:hAnsiTheme="majorHAnsi" w:cstheme="majorHAnsi"/>
        </w:rPr>
        <w:t xml:space="preserve">thẩm định </w:t>
      </w:r>
      <w:r w:rsidR="0086765E" w:rsidRPr="0079565B">
        <w:rPr>
          <w:rFonts w:asciiTheme="majorHAnsi" w:hAnsiTheme="majorHAnsi" w:cstheme="majorHAnsi"/>
          <w:lang w:val="de-DE"/>
        </w:rPr>
        <w:t>của Sở Tư pháp</w:t>
      </w:r>
      <w:r w:rsidRPr="002A2E9C">
        <w:rPr>
          <w:rFonts w:asciiTheme="majorHAnsi" w:hAnsiTheme="majorHAnsi" w:cstheme="majorHAnsi"/>
        </w:rPr>
        <w:t xml:space="preserve">. </w:t>
      </w:r>
    </w:p>
    <w:p w14:paraId="5B53C71F" w14:textId="4D8835F4" w:rsidR="007253EC" w:rsidRPr="002A2E9C" w:rsidRDefault="00515C88" w:rsidP="003A17AF">
      <w:pPr>
        <w:spacing w:before="60" w:after="60" w:line="252" w:lineRule="auto"/>
        <w:ind w:firstLine="709"/>
        <w:jc w:val="both"/>
        <w:rPr>
          <w:rFonts w:asciiTheme="majorHAnsi" w:hAnsiTheme="majorHAnsi" w:cstheme="majorHAnsi"/>
          <w:b/>
        </w:rPr>
      </w:pPr>
      <w:r w:rsidRPr="0079565B">
        <w:rPr>
          <w:rFonts w:asciiTheme="majorHAnsi" w:hAnsiTheme="majorHAnsi" w:cstheme="majorHAnsi"/>
          <w:b/>
        </w:rPr>
        <w:t>2</w:t>
      </w:r>
      <w:r w:rsidR="007253EC" w:rsidRPr="002A2E9C">
        <w:rPr>
          <w:rFonts w:asciiTheme="majorHAnsi" w:hAnsiTheme="majorHAnsi" w:cstheme="majorHAnsi"/>
          <w:b/>
        </w:rPr>
        <w:t>. Sự phù hợp của nội dung dự thảo</w:t>
      </w:r>
      <w:r w:rsidR="007253EC" w:rsidRPr="002A2E9C">
        <w:rPr>
          <w:rFonts w:asciiTheme="majorHAnsi" w:hAnsiTheme="majorHAnsi" w:cstheme="majorHAnsi"/>
        </w:rPr>
        <w:t xml:space="preserve"> </w:t>
      </w:r>
      <w:r w:rsidR="007253EC" w:rsidRPr="002A2E9C">
        <w:rPr>
          <w:rFonts w:asciiTheme="majorHAnsi" w:hAnsiTheme="majorHAnsi" w:cstheme="majorHAnsi"/>
          <w:b/>
        </w:rPr>
        <w:t>nghị quyết với đường lối, chủ trương của Đảng, chính sách của Nhà nước; tình hình, điều kiện phát triển kinh tế - xã hội của địa phương</w:t>
      </w:r>
    </w:p>
    <w:p w14:paraId="068FC780" w14:textId="2AB58E38" w:rsidR="008A1A69" w:rsidRPr="0079565B" w:rsidRDefault="007253EC" w:rsidP="003A17AF">
      <w:pPr>
        <w:spacing w:before="60" w:after="60" w:line="252" w:lineRule="auto"/>
        <w:ind w:firstLine="709"/>
        <w:jc w:val="both"/>
        <w:rPr>
          <w:rFonts w:asciiTheme="majorHAnsi" w:hAnsiTheme="majorHAnsi" w:cstheme="majorHAnsi"/>
        </w:rPr>
      </w:pPr>
      <w:r w:rsidRPr="002A2E9C">
        <w:rPr>
          <w:rFonts w:asciiTheme="majorHAnsi" w:hAnsiTheme="majorHAnsi" w:cstheme="majorHAnsi"/>
        </w:rPr>
        <w:t xml:space="preserve">Nội dung </w:t>
      </w:r>
      <w:r w:rsidR="00626E14" w:rsidRPr="002A2E9C">
        <w:rPr>
          <w:rFonts w:asciiTheme="majorHAnsi" w:hAnsiTheme="majorHAnsi" w:cstheme="majorHAnsi"/>
        </w:rPr>
        <w:t xml:space="preserve">dự thảo </w:t>
      </w:r>
      <w:r w:rsidR="00434481" w:rsidRPr="002A2E9C">
        <w:rPr>
          <w:rFonts w:asciiTheme="majorHAnsi" w:hAnsiTheme="majorHAnsi" w:cstheme="majorHAnsi"/>
        </w:rPr>
        <w:t>n</w:t>
      </w:r>
      <w:r w:rsidR="00626E14" w:rsidRPr="002A2E9C">
        <w:rPr>
          <w:rFonts w:asciiTheme="majorHAnsi" w:hAnsiTheme="majorHAnsi" w:cstheme="majorHAnsi"/>
        </w:rPr>
        <w:t xml:space="preserve">ghị quyết </w:t>
      </w:r>
      <w:r w:rsidR="008A1A69" w:rsidRPr="0079565B">
        <w:rPr>
          <w:rFonts w:asciiTheme="majorHAnsi" w:hAnsiTheme="majorHAnsi" w:cstheme="majorHAnsi"/>
        </w:rPr>
        <w:t>phù hợp với chủ tr</w:t>
      </w:r>
      <w:r w:rsidR="008A1A69" w:rsidRPr="0079565B">
        <w:rPr>
          <w:rFonts w:asciiTheme="majorHAnsi" w:hAnsiTheme="majorHAnsi" w:cstheme="majorHAnsi" w:hint="eastAsia"/>
        </w:rPr>
        <w:t>ươ</w:t>
      </w:r>
      <w:r w:rsidR="008A1A69" w:rsidRPr="0079565B">
        <w:rPr>
          <w:rFonts w:asciiTheme="majorHAnsi" w:hAnsiTheme="majorHAnsi" w:cstheme="majorHAnsi"/>
        </w:rPr>
        <w:t>ng của Đảng, chính sách, pháp luật của Nhà n</w:t>
      </w:r>
      <w:r w:rsidR="008A1A69" w:rsidRPr="0079565B">
        <w:rPr>
          <w:rFonts w:asciiTheme="majorHAnsi" w:hAnsiTheme="majorHAnsi" w:cstheme="majorHAnsi" w:hint="eastAsia"/>
        </w:rPr>
        <w:t>ư</w:t>
      </w:r>
      <w:r w:rsidR="008A1A69" w:rsidRPr="0079565B">
        <w:rPr>
          <w:rFonts w:asciiTheme="majorHAnsi" w:hAnsiTheme="majorHAnsi" w:cstheme="majorHAnsi"/>
        </w:rPr>
        <w:t>ớc</w:t>
      </w:r>
      <w:r w:rsidR="008A1A69" w:rsidRPr="0079565B">
        <w:rPr>
          <w:rFonts w:asciiTheme="majorHAnsi" w:hAnsiTheme="majorHAnsi" w:cstheme="majorHAnsi"/>
          <w:vertAlign w:val="superscript"/>
        </w:rPr>
        <w:t>(</w:t>
      </w:r>
      <w:r w:rsidR="008A1A69" w:rsidRPr="002A2E9C">
        <w:rPr>
          <w:rStyle w:val="FootnoteReference"/>
          <w:rFonts w:asciiTheme="majorHAnsi" w:hAnsiTheme="majorHAnsi" w:cstheme="majorHAnsi"/>
          <w:lang w:val="en-US"/>
        </w:rPr>
        <w:footnoteReference w:id="6"/>
      </w:r>
      <w:r w:rsidR="008A1A69" w:rsidRPr="0079565B">
        <w:rPr>
          <w:rFonts w:asciiTheme="majorHAnsi" w:hAnsiTheme="majorHAnsi" w:cstheme="majorHAnsi"/>
          <w:vertAlign w:val="superscript"/>
        </w:rPr>
        <w:t>)</w:t>
      </w:r>
      <w:r w:rsidR="008A1A69" w:rsidRPr="0079565B">
        <w:rPr>
          <w:rFonts w:asciiTheme="majorHAnsi" w:hAnsiTheme="majorHAnsi" w:cstheme="majorHAnsi"/>
        </w:rPr>
        <w:t xml:space="preserve">, chỉ </w:t>
      </w:r>
      <w:r w:rsidR="008A1A69" w:rsidRPr="0079565B">
        <w:rPr>
          <w:rFonts w:asciiTheme="majorHAnsi" w:hAnsiTheme="majorHAnsi" w:cstheme="majorHAnsi" w:hint="eastAsia"/>
        </w:rPr>
        <w:t>đ</w:t>
      </w:r>
      <w:r w:rsidR="008A1A69" w:rsidRPr="0079565B">
        <w:rPr>
          <w:rFonts w:asciiTheme="majorHAnsi" w:hAnsiTheme="majorHAnsi" w:cstheme="majorHAnsi"/>
        </w:rPr>
        <w:t>ạo của Chính phủ</w:t>
      </w:r>
      <w:r w:rsidR="008A1A69" w:rsidRPr="0079565B">
        <w:rPr>
          <w:rFonts w:asciiTheme="majorHAnsi" w:hAnsiTheme="majorHAnsi" w:cstheme="majorHAnsi"/>
          <w:vertAlign w:val="superscript"/>
        </w:rPr>
        <w:t>(</w:t>
      </w:r>
      <w:r w:rsidR="008A1A69" w:rsidRPr="002A2E9C">
        <w:rPr>
          <w:rStyle w:val="FootnoteReference"/>
          <w:rFonts w:asciiTheme="majorHAnsi" w:hAnsiTheme="majorHAnsi" w:cstheme="majorHAnsi"/>
          <w:lang w:val="en-US"/>
        </w:rPr>
        <w:footnoteReference w:id="7"/>
      </w:r>
      <w:r w:rsidR="008A1A69" w:rsidRPr="0079565B">
        <w:rPr>
          <w:rFonts w:asciiTheme="majorHAnsi" w:hAnsiTheme="majorHAnsi" w:cstheme="majorHAnsi"/>
          <w:vertAlign w:val="superscript"/>
        </w:rPr>
        <w:t>)</w:t>
      </w:r>
      <w:r w:rsidR="008A1A69" w:rsidRPr="0079565B">
        <w:rPr>
          <w:rFonts w:asciiTheme="majorHAnsi" w:hAnsiTheme="majorHAnsi" w:cstheme="majorHAnsi"/>
        </w:rPr>
        <w:t xml:space="preserve"> và Quy hoạch mạng l</w:t>
      </w:r>
      <w:r w:rsidR="008A1A69" w:rsidRPr="0079565B">
        <w:rPr>
          <w:rFonts w:asciiTheme="majorHAnsi" w:hAnsiTheme="majorHAnsi" w:cstheme="majorHAnsi" w:hint="eastAsia"/>
        </w:rPr>
        <w:t>ư</w:t>
      </w:r>
      <w:r w:rsidR="008A1A69" w:rsidRPr="0079565B">
        <w:rPr>
          <w:rFonts w:asciiTheme="majorHAnsi" w:hAnsiTheme="majorHAnsi" w:cstheme="majorHAnsi"/>
        </w:rPr>
        <w:t xml:space="preserve">ới các </w:t>
      </w:r>
      <w:r w:rsidR="008A1A69" w:rsidRPr="0079565B">
        <w:rPr>
          <w:rFonts w:asciiTheme="majorHAnsi" w:hAnsiTheme="majorHAnsi" w:cstheme="majorHAnsi"/>
        </w:rPr>
        <w:lastRenderedPageBreak/>
        <w:t>đ</w:t>
      </w:r>
      <w:r w:rsidR="008A1A69" w:rsidRPr="0079565B">
        <w:rPr>
          <w:rFonts w:asciiTheme="majorHAnsi" w:hAnsiTheme="majorHAnsi" w:cstheme="majorHAnsi" w:hint="eastAsia"/>
        </w:rPr>
        <w:t>ơ</w:t>
      </w:r>
      <w:r w:rsidR="008A1A69" w:rsidRPr="0079565B">
        <w:rPr>
          <w:rFonts w:asciiTheme="majorHAnsi" w:hAnsiTheme="majorHAnsi" w:cstheme="majorHAnsi"/>
        </w:rPr>
        <w:t>n vị sự nghiệp công lập thuộc lĩnh vực Y tế trên địa bàn tỉnh Kon Tum đến năm 2025, tầm nhìn đến năm 2030</w:t>
      </w:r>
      <w:r w:rsidR="008A1A69" w:rsidRPr="0079565B">
        <w:rPr>
          <w:rFonts w:asciiTheme="majorHAnsi" w:hAnsiTheme="majorHAnsi" w:cstheme="majorHAnsi"/>
          <w:vertAlign w:val="superscript"/>
        </w:rPr>
        <w:t>(</w:t>
      </w:r>
      <w:r w:rsidR="008A1A69" w:rsidRPr="002A2E9C">
        <w:rPr>
          <w:rStyle w:val="FootnoteReference"/>
          <w:rFonts w:asciiTheme="majorHAnsi" w:hAnsiTheme="majorHAnsi" w:cstheme="majorHAnsi"/>
          <w:lang w:val="en-US"/>
        </w:rPr>
        <w:footnoteReference w:id="8"/>
      </w:r>
      <w:r w:rsidR="008A1A69" w:rsidRPr="0079565B">
        <w:rPr>
          <w:rFonts w:asciiTheme="majorHAnsi" w:hAnsiTheme="majorHAnsi" w:cstheme="majorHAnsi"/>
          <w:vertAlign w:val="superscript"/>
        </w:rPr>
        <w:t>)</w:t>
      </w:r>
      <w:r w:rsidR="008A1A69" w:rsidRPr="0079565B">
        <w:rPr>
          <w:rFonts w:asciiTheme="majorHAnsi" w:hAnsiTheme="majorHAnsi" w:cstheme="majorHAnsi"/>
        </w:rPr>
        <w:t xml:space="preserve">. </w:t>
      </w:r>
    </w:p>
    <w:p w14:paraId="14C0CD8A" w14:textId="4A3DB23D" w:rsidR="007253EC" w:rsidRPr="002A2E9C" w:rsidRDefault="00515C88" w:rsidP="003A17AF">
      <w:pPr>
        <w:spacing w:before="60" w:after="60" w:line="252" w:lineRule="auto"/>
        <w:ind w:firstLine="709"/>
        <w:jc w:val="both"/>
        <w:rPr>
          <w:rFonts w:asciiTheme="majorHAnsi" w:hAnsiTheme="majorHAnsi" w:cstheme="majorHAnsi"/>
          <w:b/>
        </w:rPr>
      </w:pPr>
      <w:r w:rsidRPr="0079565B">
        <w:rPr>
          <w:rFonts w:asciiTheme="majorHAnsi" w:hAnsiTheme="majorHAnsi" w:cstheme="majorHAnsi"/>
          <w:b/>
        </w:rPr>
        <w:t>3</w:t>
      </w:r>
      <w:r w:rsidR="007253EC" w:rsidRPr="002A2E9C">
        <w:rPr>
          <w:rFonts w:asciiTheme="majorHAnsi" w:hAnsiTheme="majorHAnsi" w:cstheme="majorHAnsi"/>
          <w:b/>
        </w:rPr>
        <w:t xml:space="preserve">. Tính hợp hiến, hợp pháp và tính thống nhất của dự thảo nghị quyết với hệ thống pháp luật </w:t>
      </w:r>
    </w:p>
    <w:p w14:paraId="6F06B144" w14:textId="121DB2EB" w:rsidR="00A250F6" w:rsidRPr="002A2E9C" w:rsidRDefault="00A250F6" w:rsidP="003A17AF">
      <w:pPr>
        <w:spacing w:before="60" w:after="60" w:line="252" w:lineRule="auto"/>
        <w:ind w:firstLine="709"/>
        <w:jc w:val="both"/>
        <w:rPr>
          <w:rFonts w:asciiTheme="majorHAnsi" w:hAnsiTheme="majorHAnsi" w:cstheme="majorHAnsi"/>
          <w:lang w:val="de-DE"/>
        </w:rPr>
      </w:pPr>
      <w:r w:rsidRPr="002A2E9C">
        <w:rPr>
          <w:rFonts w:asciiTheme="majorHAnsi" w:hAnsiTheme="majorHAnsi" w:cstheme="majorHAnsi"/>
          <w:lang w:val="de-DE"/>
        </w:rPr>
        <w:t xml:space="preserve">Dự thảo Nghị quyết </w:t>
      </w:r>
      <w:r w:rsidRPr="002A2E9C">
        <w:rPr>
          <w:rFonts w:asciiTheme="majorHAnsi" w:hAnsiTheme="majorHAnsi" w:cstheme="majorHAnsi" w:hint="eastAsia"/>
          <w:lang w:val="de-DE"/>
        </w:rPr>
        <w:t>đ</w:t>
      </w:r>
      <w:r w:rsidRPr="002A2E9C">
        <w:rPr>
          <w:rFonts w:asciiTheme="majorHAnsi" w:hAnsiTheme="majorHAnsi" w:cstheme="majorHAnsi"/>
          <w:lang w:val="de-DE"/>
        </w:rPr>
        <w:t>ảm bảo tính hợp hiến, hợp pháp và tính thống nhất trong hệ thống pháp luật; phù hợp với các v</w:t>
      </w:r>
      <w:r w:rsidRPr="002A2E9C">
        <w:rPr>
          <w:rFonts w:asciiTheme="majorHAnsi" w:hAnsiTheme="majorHAnsi" w:cstheme="majorHAnsi" w:hint="eastAsia"/>
          <w:lang w:val="de-DE"/>
        </w:rPr>
        <w:t>ă</w:t>
      </w:r>
      <w:r w:rsidRPr="002A2E9C">
        <w:rPr>
          <w:rFonts w:asciiTheme="majorHAnsi" w:hAnsiTheme="majorHAnsi" w:cstheme="majorHAnsi"/>
          <w:lang w:val="de-DE"/>
        </w:rPr>
        <w:t>n bản quy phạm pháp luật có giá trị pháp lý cao h</w:t>
      </w:r>
      <w:r w:rsidRPr="002A2E9C">
        <w:rPr>
          <w:rFonts w:asciiTheme="majorHAnsi" w:hAnsiTheme="majorHAnsi" w:cstheme="majorHAnsi" w:hint="eastAsia"/>
          <w:lang w:val="de-DE"/>
        </w:rPr>
        <w:t>ơ</w:t>
      </w:r>
      <w:r w:rsidRPr="002A2E9C">
        <w:rPr>
          <w:rFonts w:asciiTheme="majorHAnsi" w:hAnsiTheme="majorHAnsi" w:cstheme="majorHAnsi"/>
          <w:lang w:val="de-DE"/>
        </w:rPr>
        <w:t>n.</w:t>
      </w:r>
    </w:p>
    <w:p w14:paraId="7F2B1270" w14:textId="58B5EF66" w:rsidR="007253EC" w:rsidRPr="002A2E9C" w:rsidRDefault="00515C88" w:rsidP="003A17AF">
      <w:pPr>
        <w:spacing w:before="60" w:after="60" w:line="252" w:lineRule="auto"/>
        <w:ind w:firstLine="709"/>
        <w:jc w:val="both"/>
        <w:rPr>
          <w:rFonts w:asciiTheme="majorHAnsi" w:hAnsiTheme="majorHAnsi" w:cstheme="majorHAnsi"/>
          <w:b/>
          <w:lang w:val="de-DE"/>
        </w:rPr>
      </w:pPr>
      <w:r w:rsidRPr="002A2E9C">
        <w:rPr>
          <w:rFonts w:asciiTheme="majorHAnsi" w:hAnsiTheme="majorHAnsi" w:cstheme="majorHAnsi"/>
          <w:b/>
          <w:lang w:val="de-DE"/>
        </w:rPr>
        <w:t>4</w:t>
      </w:r>
      <w:r w:rsidR="005C756A" w:rsidRPr="002A2E9C">
        <w:rPr>
          <w:rFonts w:asciiTheme="majorHAnsi" w:hAnsiTheme="majorHAnsi" w:cstheme="majorHAnsi"/>
          <w:b/>
          <w:lang w:val="de-DE"/>
        </w:rPr>
        <w:t>.</w:t>
      </w:r>
      <w:r w:rsidR="007253EC" w:rsidRPr="002A2E9C">
        <w:rPr>
          <w:rFonts w:asciiTheme="majorHAnsi" w:hAnsiTheme="majorHAnsi" w:cstheme="majorHAnsi"/>
          <w:b/>
          <w:lang w:val="de-DE"/>
        </w:rPr>
        <w:t xml:space="preserve"> </w:t>
      </w:r>
      <w:r w:rsidR="00256BB7" w:rsidRPr="002A2E9C">
        <w:rPr>
          <w:rFonts w:asciiTheme="majorHAnsi" w:hAnsiTheme="majorHAnsi" w:cstheme="majorHAnsi"/>
          <w:b/>
        </w:rPr>
        <w:t>Kiến nghị, đề xuất</w:t>
      </w:r>
    </w:p>
    <w:p w14:paraId="326F4747" w14:textId="1CC6FA26" w:rsidR="00116BCD" w:rsidRPr="002A2E9C" w:rsidRDefault="00A71B7F" w:rsidP="003A17AF">
      <w:pPr>
        <w:shd w:val="clear" w:color="auto" w:fill="FFFFFF"/>
        <w:spacing w:before="60" w:after="60" w:line="252" w:lineRule="auto"/>
        <w:ind w:firstLine="709"/>
        <w:jc w:val="both"/>
        <w:rPr>
          <w:rFonts w:asciiTheme="majorHAnsi" w:hAnsiTheme="majorHAnsi" w:cstheme="majorHAnsi"/>
          <w:lang w:val="de-DE"/>
        </w:rPr>
      </w:pPr>
      <w:r w:rsidRPr="002A2E9C">
        <w:rPr>
          <w:rFonts w:asciiTheme="majorHAnsi" w:hAnsiTheme="majorHAnsi" w:cstheme="majorHAnsi"/>
          <w:lang w:val="de-DE"/>
        </w:rPr>
        <w:t xml:space="preserve">Trên cơ </w:t>
      </w:r>
      <w:r w:rsidR="00A10BEB" w:rsidRPr="002A2E9C">
        <w:rPr>
          <w:rFonts w:asciiTheme="majorHAnsi" w:hAnsiTheme="majorHAnsi" w:cstheme="majorHAnsi"/>
          <w:lang w:val="de-DE"/>
        </w:rPr>
        <w:t xml:space="preserve">sở </w:t>
      </w:r>
      <w:r w:rsidRPr="002A2E9C">
        <w:rPr>
          <w:rFonts w:asciiTheme="majorHAnsi" w:hAnsiTheme="majorHAnsi" w:cstheme="majorHAnsi"/>
        </w:rPr>
        <w:t xml:space="preserve">ý kiến tham gia thảo luận </w:t>
      </w:r>
      <w:r w:rsidRPr="002A2E9C">
        <w:rPr>
          <w:rFonts w:asciiTheme="majorHAnsi" w:hAnsiTheme="majorHAnsi" w:cstheme="majorHAnsi"/>
          <w:lang w:val="de-DE"/>
        </w:rPr>
        <w:t>của các đại biểu tại cuộc họp thẩm tra</w:t>
      </w:r>
      <w:r w:rsidRPr="002A2E9C">
        <w:rPr>
          <w:rFonts w:asciiTheme="majorHAnsi" w:hAnsiTheme="majorHAnsi" w:cstheme="majorHAnsi"/>
        </w:rPr>
        <w:t xml:space="preserve">, Ban </w:t>
      </w:r>
      <w:r w:rsidR="005C756A" w:rsidRPr="002A2E9C">
        <w:rPr>
          <w:rFonts w:asciiTheme="majorHAnsi" w:hAnsiTheme="majorHAnsi" w:cstheme="majorHAnsi"/>
          <w:lang w:val="de-DE"/>
        </w:rPr>
        <w:t xml:space="preserve">Kinh tế - Ngân sách Hội đồng nhân dân tỉnh </w:t>
      </w:r>
      <w:r w:rsidRPr="002A2E9C">
        <w:rPr>
          <w:rFonts w:asciiTheme="majorHAnsi" w:hAnsiTheme="majorHAnsi" w:cstheme="majorHAnsi"/>
        </w:rPr>
        <w:t xml:space="preserve">đề nghị Ủy ban nhân dân tỉnh </w:t>
      </w:r>
      <w:r w:rsidR="006003A9" w:rsidRPr="0079565B">
        <w:rPr>
          <w:rFonts w:asciiTheme="majorHAnsi" w:hAnsiTheme="majorHAnsi" w:cstheme="majorHAnsi"/>
          <w:lang w:val="de-DE"/>
        </w:rPr>
        <w:t>chỉ đạo</w:t>
      </w:r>
      <w:r w:rsidR="005F1369" w:rsidRPr="002A2E9C">
        <w:rPr>
          <w:rFonts w:asciiTheme="majorHAnsi" w:hAnsiTheme="majorHAnsi" w:cstheme="majorHAnsi"/>
          <w:lang w:val="de-DE"/>
        </w:rPr>
        <w:t xml:space="preserve"> </w:t>
      </w:r>
      <w:r w:rsidR="00116BCD" w:rsidRPr="002A2E9C">
        <w:rPr>
          <w:rFonts w:asciiTheme="majorHAnsi" w:hAnsiTheme="majorHAnsi" w:cstheme="majorHAnsi"/>
          <w:lang w:val="de-DE"/>
        </w:rPr>
        <w:t>một số nội dung sau:</w:t>
      </w:r>
    </w:p>
    <w:p w14:paraId="191FA289" w14:textId="6460AA55" w:rsidR="005F1369" w:rsidRPr="002A2E9C" w:rsidRDefault="00BD5FF6" w:rsidP="003A17AF">
      <w:pPr>
        <w:shd w:val="clear" w:color="auto" w:fill="FFFFFF"/>
        <w:spacing w:before="60" w:after="60" w:line="252" w:lineRule="auto"/>
        <w:ind w:firstLine="709"/>
        <w:jc w:val="both"/>
        <w:rPr>
          <w:rFonts w:asciiTheme="majorHAnsi" w:hAnsiTheme="majorHAnsi" w:cstheme="majorHAnsi"/>
          <w:lang w:val="de-DE"/>
        </w:rPr>
      </w:pPr>
      <w:r w:rsidRPr="002A2E9C">
        <w:rPr>
          <w:rFonts w:asciiTheme="majorHAnsi" w:hAnsiTheme="majorHAnsi" w:cstheme="majorHAnsi"/>
          <w:lang w:val="de-DE"/>
        </w:rPr>
        <w:t>-</w:t>
      </w:r>
      <w:r w:rsidR="00A81A57" w:rsidRPr="002A2E9C">
        <w:rPr>
          <w:rFonts w:asciiTheme="majorHAnsi" w:hAnsiTheme="majorHAnsi" w:cstheme="majorHAnsi"/>
          <w:lang w:val="de-DE"/>
        </w:rPr>
        <w:t xml:space="preserve"> C</w:t>
      </w:r>
      <w:r w:rsidR="006003A9" w:rsidRPr="002A2E9C">
        <w:rPr>
          <w:rFonts w:asciiTheme="majorHAnsi" w:hAnsiTheme="majorHAnsi" w:cstheme="majorHAnsi"/>
          <w:lang w:val="de-DE"/>
        </w:rPr>
        <w:t>ác</w:t>
      </w:r>
      <w:r w:rsidR="005F1369" w:rsidRPr="002A2E9C">
        <w:rPr>
          <w:rFonts w:asciiTheme="majorHAnsi" w:hAnsiTheme="majorHAnsi" w:cstheme="majorHAnsi"/>
          <w:lang w:val="de-DE"/>
        </w:rPr>
        <w:t xml:space="preserve"> cơ quan chuyên môn chủ động phối hợp với c</w:t>
      </w:r>
      <w:r w:rsidR="005F1369" w:rsidRPr="002A2E9C">
        <w:rPr>
          <w:rFonts w:asciiTheme="majorHAnsi" w:hAnsiTheme="majorHAnsi" w:cstheme="majorHAnsi" w:hint="eastAsia"/>
          <w:lang w:val="de-DE"/>
        </w:rPr>
        <w:t>ơ</w:t>
      </w:r>
      <w:r w:rsidR="005F1369" w:rsidRPr="002A2E9C">
        <w:rPr>
          <w:rFonts w:asciiTheme="majorHAnsi" w:hAnsiTheme="majorHAnsi" w:cstheme="majorHAnsi"/>
          <w:lang w:val="de-DE"/>
        </w:rPr>
        <w:t xml:space="preserve"> quan truyền thông đẩy mạnh công tác tuyên truyền, giải thích để ng</w:t>
      </w:r>
      <w:r w:rsidR="005F1369" w:rsidRPr="002A2E9C">
        <w:rPr>
          <w:rFonts w:asciiTheme="majorHAnsi" w:hAnsiTheme="majorHAnsi" w:cstheme="majorHAnsi" w:hint="eastAsia"/>
          <w:lang w:val="de-DE"/>
        </w:rPr>
        <w:t>ư</w:t>
      </w:r>
      <w:r w:rsidR="005F1369" w:rsidRPr="002A2E9C">
        <w:rPr>
          <w:rFonts w:asciiTheme="majorHAnsi" w:hAnsiTheme="majorHAnsi" w:cstheme="majorHAnsi"/>
          <w:lang w:val="de-DE"/>
        </w:rPr>
        <w:t>ời dân hiểu và nắm đ</w:t>
      </w:r>
      <w:r w:rsidR="005F1369" w:rsidRPr="002A2E9C">
        <w:rPr>
          <w:rFonts w:asciiTheme="majorHAnsi" w:hAnsiTheme="majorHAnsi" w:cstheme="majorHAnsi" w:hint="eastAsia"/>
          <w:lang w:val="de-DE"/>
        </w:rPr>
        <w:t>ư</w:t>
      </w:r>
      <w:r w:rsidR="005F1369" w:rsidRPr="002A2E9C">
        <w:rPr>
          <w:rFonts w:asciiTheme="majorHAnsi" w:hAnsiTheme="majorHAnsi" w:cstheme="majorHAnsi"/>
          <w:lang w:val="de-DE"/>
        </w:rPr>
        <w:t>ợc việc điê</w:t>
      </w:r>
      <w:r w:rsidR="00A46EC2" w:rsidRPr="002A2E9C">
        <w:rPr>
          <w:rFonts w:asciiTheme="majorHAnsi" w:hAnsiTheme="majorHAnsi" w:cstheme="majorHAnsi"/>
          <w:lang w:val="de-DE"/>
        </w:rPr>
        <w:t xml:space="preserve">̀u chỉnh giá dịch vụ y tế </w:t>
      </w:r>
      <w:r w:rsidR="005F1369" w:rsidRPr="002A2E9C">
        <w:rPr>
          <w:rFonts w:asciiTheme="majorHAnsi" w:hAnsiTheme="majorHAnsi" w:cstheme="majorHAnsi"/>
          <w:lang w:val="de-DE"/>
        </w:rPr>
        <w:t>là thực hiện chủ tr</w:t>
      </w:r>
      <w:r w:rsidR="005F1369" w:rsidRPr="002A2E9C">
        <w:rPr>
          <w:rFonts w:asciiTheme="majorHAnsi" w:hAnsiTheme="majorHAnsi" w:cstheme="majorHAnsi" w:hint="eastAsia"/>
          <w:lang w:val="de-DE"/>
        </w:rPr>
        <w:t>ươ</w:t>
      </w:r>
      <w:r w:rsidR="005F1369" w:rsidRPr="002A2E9C">
        <w:rPr>
          <w:rFonts w:asciiTheme="majorHAnsi" w:hAnsiTheme="majorHAnsi" w:cstheme="majorHAnsi"/>
          <w:lang w:val="de-DE"/>
        </w:rPr>
        <w:t>ng của Đảng, chính sách, pháp luật của Nhà n</w:t>
      </w:r>
      <w:r w:rsidR="005F1369" w:rsidRPr="002A2E9C">
        <w:rPr>
          <w:rFonts w:asciiTheme="majorHAnsi" w:hAnsiTheme="majorHAnsi" w:cstheme="majorHAnsi" w:hint="eastAsia"/>
          <w:lang w:val="de-DE"/>
        </w:rPr>
        <w:t>ư</w:t>
      </w:r>
      <w:r w:rsidR="005F1369" w:rsidRPr="002A2E9C">
        <w:rPr>
          <w:rFonts w:asciiTheme="majorHAnsi" w:hAnsiTheme="majorHAnsi" w:cstheme="majorHAnsi"/>
          <w:lang w:val="de-DE"/>
        </w:rPr>
        <w:t>ớc</w:t>
      </w:r>
      <w:r w:rsidR="00A46EC2" w:rsidRPr="002A2E9C">
        <w:rPr>
          <w:rFonts w:asciiTheme="majorHAnsi" w:hAnsiTheme="majorHAnsi" w:cstheme="majorHAnsi"/>
          <w:lang w:val="de-DE"/>
        </w:rPr>
        <w:t>.</w:t>
      </w:r>
    </w:p>
    <w:p w14:paraId="25EDFDB6" w14:textId="4510A624" w:rsidR="00A46EC2" w:rsidRPr="002A2E9C" w:rsidRDefault="00BD5FF6" w:rsidP="003A17AF">
      <w:pPr>
        <w:shd w:val="clear" w:color="auto" w:fill="FFFFFF"/>
        <w:spacing w:before="60" w:after="60" w:line="252" w:lineRule="auto"/>
        <w:ind w:firstLine="709"/>
        <w:jc w:val="both"/>
        <w:rPr>
          <w:rFonts w:asciiTheme="majorHAnsi" w:hAnsiTheme="majorHAnsi" w:cstheme="majorHAnsi"/>
          <w:lang w:val="de-DE"/>
        </w:rPr>
      </w:pPr>
      <w:r w:rsidRPr="002A2E9C">
        <w:rPr>
          <w:rFonts w:asciiTheme="majorHAnsi" w:hAnsiTheme="majorHAnsi" w:cstheme="majorHAnsi"/>
          <w:lang w:val="de-DE"/>
        </w:rPr>
        <w:t>-</w:t>
      </w:r>
      <w:r w:rsidR="00A81A57" w:rsidRPr="002A2E9C">
        <w:rPr>
          <w:rFonts w:asciiTheme="majorHAnsi" w:hAnsiTheme="majorHAnsi" w:cstheme="majorHAnsi"/>
          <w:lang w:val="de-DE"/>
        </w:rPr>
        <w:t xml:space="preserve"> </w:t>
      </w:r>
      <w:r w:rsidR="006003A9" w:rsidRPr="002A2E9C">
        <w:rPr>
          <w:rFonts w:asciiTheme="majorHAnsi" w:hAnsiTheme="majorHAnsi" w:cstheme="majorHAnsi"/>
          <w:lang w:val="de-DE"/>
        </w:rPr>
        <w:t>C</w:t>
      </w:r>
      <w:r w:rsidR="00A81A57" w:rsidRPr="002A2E9C">
        <w:rPr>
          <w:rFonts w:asciiTheme="majorHAnsi" w:hAnsiTheme="majorHAnsi" w:cstheme="majorHAnsi"/>
          <w:lang w:val="de-DE"/>
        </w:rPr>
        <w:t>ác c</w:t>
      </w:r>
      <w:r w:rsidR="00A81A57" w:rsidRPr="002A2E9C">
        <w:rPr>
          <w:rFonts w:asciiTheme="majorHAnsi" w:hAnsiTheme="majorHAnsi" w:cstheme="majorHAnsi" w:hint="eastAsia"/>
          <w:lang w:val="de-DE"/>
        </w:rPr>
        <w:t>ơ</w:t>
      </w:r>
      <w:r w:rsidR="00A81A57" w:rsidRPr="002A2E9C">
        <w:rPr>
          <w:rFonts w:asciiTheme="majorHAnsi" w:hAnsiTheme="majorHAnsi" w:cstheme="majorHAnsi"/>
          <w:lang w:val="de-DE"/>
        </w:rPr>
        <w:t xml:space="preserve"> sở khám bệnh, chữa bệnh tiếp tục triển khai thực hiện nghiêm Chỉ thị số 847/CT-BYT ngày 21/8/2018 của Bộ tr</w:t>
      </w:r>
      <w:r w:rsidR="00A81A57" w:rsidRPr="002A2E9C">
        <w:rPr>
          <w:rFonts w:asciiTheme="majorHAnsi" w:hAnsiTheme="majorHAnsi" w:cstheme="majorHAnsi" w:hint="eastAsia"/>
          <w:lang w:val="de-DE"/>
        </w:rPr>
        <w:t>ư</w:t>
      </w:r>
      <w:r w:rsidR="00A81A57" w:rsidRPr="002A2E9C">
        <w:rPr>
          <w:rFonts w:asciiTheme="majorHAnsi" w:hAnsiTheme="majorHAnsi" w:cstheme="majorHAnsi"/>
          <w:lang w:val="de-DE"/>
        </w:rPr>
        <w:t>ởng Bộ Y tế về các giải pháp để bảo đảm và nâng cao chất l</w:t>
      </w:r>
      <w:r w:rsidR="00A81A57" w:rsidRPr="002A2E9C">
        <w:rPr>
          <w:rFonts w:asciiTheme="majorHAnsi" w:hAnsiTheme="majorHAnsi" w:cstheme="majorHAnsi" w:hint="eastAsia"/>
          <w:lang w:val="de-DE"/>
        </w:rPr>
        <w:t>ư</w:t>
      </w:r>
      <w:r w:rsidR="00A81A57" w:rsidRPr="002A2E9C">
        <w:rPr>
          <w:rFonts w:asciiTheme="majorHAnsi" w:hAnsiTheme="majorHAnsi" w:cstheme="majorHAnsi"/>
          <w:lang w:val="de-DE"/>
        </w:rPr>
        <w:t>ợng dịch vụ khi thực hiện điều chỉnh giá dịch vụ khám bệnh, chữa bệnh.</w:t>
      </w:r>
    </w:p>
    <w:p w14:paraId="7D91DC0E" w14:textId="7226BB4A" w:rsidR="00D34718" w:rsidRPr="002A2E9C" w:rsidRDefault="006003A9" w:rsidP="003A17AF">
      <w:pPr>
        <w:shd w:val="clear" w:color="auto" w:fill="FFFFFF"/>
        <w:spacing w:before="60" w:after="60" w:line="252" w:lineRule="auto"/>
        <w:ind w:firstLine="709"/>
        <w:jc w:val="both"/>
        <w:rPr>
          <w:rFonts w:asciiTheme="majorHAnsi" w:hAnsiTheme="majorHAnsi" w:cstheme="majorHAnsi"/>
          <w:lang w:val="de-DE"/>
        </w:rPr>
      </w:pPr>
      <w:r w:rsidRPr="002A2E9C">
        <w:rPr>
          <w:rFonts w:asciiTheme="majorHAnsi" w:hAnsiTheme="majorHAnsi" w:cstheme="majorHAnsi"/>
          <w:lang w:val="de-DE"/>
        </w:rPr>
        <w:t>Trên cơ sở Báo cáo thẩm tra của Ban Kinh tế - Ngân sách</w:t>
      </w:r>
      <w:r w:rsidR="0002586F" w:rsidRPr="002A2E9C">
        <w:rPr>
          <w:rFonts w:asciiTheme="majorHAnsi" w:hAnsiTheme="majorHAnsi" w:cstheme="majorHAnsi"/>
          <w:lang w:val="de-DE"/>
        </w:rPr>
        <w:t>,</w:t>
      </w:r>
      <w:r w:rsidRPr="002A2E9C">
        <w:rPr>
          <w:rFonts w:asciiTheme="majorHAnsi" w:hAnsiTheme="majorHAnsi" w:cstheme="majorHAnsi"/>
          <w:lang w:val="de-DE"/>
        </w:rPr>
        <w:t xml:space="preserve"> ý kiến tham gia của đại biểu </w:t>
      </w:r>
      <w:r w:rsidR="0002586F" w:rsidRPr="002A2E9C">
        <w:rPr>
          <w:rFonts w:asciiTheme="majorHAnsi" w:hAnsiTheme="majorHAnsi" w:cstheme="majorHAnsi"/>
          <w:lang w:val="de-DE"/>
        </w:rPr>
        <w:t xml:space="preserve">Hội đồng nhân dân </w:t>
      </w:r>
      <w:r w:rsidRPr="002A2E9C">
        <w:rPr>
          <w:rFonts w:asciiTheme="majorHAnsi" w:hAnsiTheme="majorHAnsi" w:cstheme="majorHAnsi"/>
          <w:lang w:val="de-DE"/>
        </w:rPr>
        <w:t xml:space="preserve">tỉnh, </w:t>
      </w:r>
      <w:r w:rsidR="0002586F" w:rsidRPr="002A2E9C">
        <w:rPr>
          <w:rFonts w:asciiTheme="majorHAnsi" w:hAnsiTheme="majorHAnsi" w:cstheme="majorHAnsi"/>
        </w:rPr>
        <w:t xml:space="preserve">Ủy ban nhân dân </w:t>
      </w:r>
      <w:r w:rsidRPr="002A2E9C">
        <w:rPr>
          <w:rFonts w:asciiTheme="majorHAnsi" w:hAnsiTheme="majorHAnsi" w:cstheme="majorHAnsi"/>
          <w:lang w:val="de-DE"/>
        </w:rPr>
        <w:t xml:space="preserve">tỉnh chỉ đạo cơ quan chủ trì soạn thảo tiếp thu, giải trình </w:t>
      </w:r>
      <w:r w:rsidR="0002586F" w:rsidRPr="002A2E9C">
        <w:rPr>
          <w:rFonts w:asciiTheme="majorHAnsi" w:hAnsiTheme="majorHAnsi" w:cstheme="majorHAnsi"/>
          <w:lang w:val="de-DE"/>
        </w:rPr>
        <w:t xml:space="preserve">các nội dung liên quan </w:t>
      </w:r>
      <w:r w:rsidRPr="002A2E9C">
        <w:rPr>
          <w:rFonts w:asciiTheme="majorHAnsi" w:hAnsiTheme="majorHAnsi" w:cstheme="majorHAnsi"/>
          <w:lang w:val="de-DE"/>
        </w:rPr>
        <w:t xml:space="preserve">và hoàn thiện dự thảo nghị quyết </w:t>
      </w:r>
      <w:r w:rsidR="0002586F" w:rsidRPr="002A2E9C">
        <w:rPr>
          <w:rFonts w:asciiTheme="majorHAnsi" w:hAnsiTheme="majorHAnsi" w:cstheme="majorHAnsi"/>
          <w:lang w:val="de-DE"/>
        </w:rPr>
        <w:t xml:space="preserve">đảm bảo </w:t>
      </w:r>
      <w:r w:rsidRPr="002A2E9C">
        <w:rPr>
          <w:rFonts w:asciiTheme="majorHAnsi" w:hAnsiTheme="majorHAnsi" w:cstheme="majorHAnsi"/>
          <w:lang w:val="de-DE"/>
        </w:rPr>
        <w:t>theo quy định</w:t>
      </w:r>
      <w:r w:rsidR="0002586F" w:rsidRPr="002A2E9C">
        <w:rPr>
          <w:rFonts w:asciiTheme="majorHAnsi" w:hAnsiTheme="majorHAnsi" w:cstheme="majorHAnsi"/>
          <w:lang w:val="de-DE"/>
        </w:rPr>
        <w:t xml:space="preserve"> trước khi trình Hội đồng nhân dân tỉnh xem xét </w:t>
      </w:r>
      <w:r w:rsidR="00167B63" w:rsidRPr="002A2E9C">
        <w:rPr>
          <w:rFonts w:asciiTheme="majorHAnsi" w:hAnsiTheme="majorHAnsi" w:cstheme="majorHAnsi"/>
          <w:lang w:val="de-DE"/>
        </w:rPr>
        <w:t>quyết định</w:t>
      </w:r>
      <w:r w:rsidRPr="002A2E9C">
        <w:rPr>
          <w:rFonts w:asciiTheme="majorHAnsi" w:hAnsiTheme="majorHAnsi" w:cstheme="majorHAnsi"/>
          <w:lang w:val="de-DE"/>
        </w:rPr>
        <w:t>.</w:t>
      </w:r>
    </w:p>
    <w:p w14:paraId="10E5735E" w14:textId="2C6BFE71" w:rsidR="009F1386" w:rsidRPr="002A2E9C" w:rsidRDefault="009F1386" w:rsidP="00645BDD">
      <w:pPr>
        <w:spacing w:before="120" w:after="120" w:line="252" w:lineRule="auto"/>
        <w:ind w:firstLine="709"/>
        <w:jc w:val="both"/>
        <w:rPr>
          <w:rFonts w:asciiTheme="majorHAnsi" w:hAnsiTheme="majorHAnsi" w:cstheme="majorHAnsi"/>
          <w:lang w:val="de-DE"/>
        </w:rPr>
      </w:pPr>
      <w:r w:rsidRPr="002A2E9C">
        <w:rPr>
          <w:rFonts w:asciiTheme="majorHAnsi" w:hAnsiTheme="majorHAnsi" w:cstheme="majorHAnsi"/>
          <w:lang w:val="de-DE"/>
        </w:rPr>
        <w:t xml:space="preserve">Trên đây là Báo cáo thẩm tra của Ban </w:t>
      </w:r>
      <w:r w:rsidRPr="0079565B">
        <w:rPr>
          <w:rFonts w:asciiTheme="majorHAnsi" w:hAnsiTheme="majorHAnsi" w:cstheme="majorHAnsi"/>
          <w:lang w:val="de-DE"/>
        </w:rPr>
        <w:t>Kinh</w:t>
      </w:r>
      <w:r w:rsidRPr="002A2E9C">
        <w:rPr>
          <w:rFonts w:asciiTheme="majorHAnsi" w:hAnsiTheme="majorHAnsi" w:cstheme="majorHAnsi"/>
          <w:lang w:val="de-DE"/>
        </w:rPr>
        <w:t xml:space="preserve"> tế - Ngân sách</w:t>
      </w:r>
      <w:r w:rsidR="00EC768B" w:rsidRPr="002A2E9C">
        <w:rPr>
          <w:rFonts w:asciiTheme="majorHAnsi" w:hAnsiTheme="majorHAnsi" w:cstheme="majorHAnsi"/>
          <w:bCs/>
          <w:lang w:val="de-DE"/>
        </w:rPr>
        <w:t>.</w:t>
      </w:r>
      <w:r w:rsidRPr="002A2E9C">
        <w:rPr>
          <w:rFonts w:asciiTheme="majorHAnsi" w:hAnsiTheme="majorHAnsi" w:cstheme="majorHAnsi"/>
          <w:lang w:val="de-DE"/>
        </w:rPr>
        <w:t xml:space="preserve"> </w:t>
      </w:r>
      <w:r w:rsidR="00EC768B" w:rsidRPr="002A2E9C">
        <w:rPr>
          <w:rFonts w:asciiTheme="majorHAnsi" w:hAnsiTheme="majorHAnsi" w:cstheme="majorHAnsi"/>
          <w:lang w:val="de-DE"/>
        </w:rPr>
        <w:t>K</w:t>
      </w:r>
      <w:r w:rsidR="00EC768B" w:rsidRPr="002A2E9C">
        <w:rPr>
          <w:rFonts w:asciiTheme="majorHAnsi" w:hAnsiTheme="majorHAnsi" w:cstheme="majorHAnsi"/>
        </w:rPr>
        <w:t xml:space="preserve">ính </w:t>
      </w:r>
      <w:r w:rsidRPr="002A2E9C">
        <w:rPr>
          <w:rFonts w:asciiTheme="majorHAnsi" w:hAnsiTheme="majorHAnsi" w:cstheme="majorHAnsi"/>
        </w:rPr>
        <w:t xml:space="preserve">trình Hội đồng nhân dân tỉnh </w:t>
      </w:r>
      <w:r w:rsidR="008A47AE" w:rsidRPr="002A2E9C">
        <w:rPr>
          <w:rFonts w:asciiTheme="majorHAnsi" w:hAnsiTheme="majorHAnsi" w:cstheme="majorHAnsi"/>
        </w:rPr>
        <w:t xml:space="preserve">Khóa </w:t>
      </w:r>
      <w:r w:rsidR="00EC768B" w:rsidRPr="002A2E9C">
        <w:rPr>
          <w:rFonts w:asciiTheme="majorHAnsi" w:hAnsiTheme="majorHAnsi" w:cstheme="majorHAnsi"/>
        </w:rPr>
        <w:t>XI</w:t>
      </w:r>
      <w:r w:rsidR="00EC768B" w:rsidRPr="0079565B">
        <w:rPr>
          <w:rFonts w:asciiTheme="majorHAnsi" w:hAnsiTheme="majorHAnsi" w:cstheme="majorHAnsi"/>
          <w:lang w:val="de-DE"/>
        </w:rPr>
        <w:t xml:space="preserve"> </w:t>
      </w:r>
      <w:r w:rsidRPr="002A2E9C">
        <w:rPr>
          <w:rFonts w:asciiTheme="majorHAnsi" w:hAnsiTheme="majorHAnsi" w:cstheme="majorHAnsi"/>
          <w:lang w:val="de-DE"/>
        </w:rPr>
        <w:t>K</w:t>
      </w:r>
      <w:r w:rsidRPr="002A2E9C">
        <w:rPr>
          <w:rFonts w:asciiTheme="majorHAnsi" w:hAnsiTheme="majorHAnsi" w:cstheme="majorHAnsi"/>
        </w:rPr>
        <w:t>ỳ họp</w:t>
      </w:r>
      <w:r w:rsidR="00EC768B" w:rsidRPr="0079565B">
        <w:rPr>
          <w:rFonts w:asciiTheme="majorHAnsi" w:hAnsiTheme="majorHAnsi" w:cstheme="majorHAnsi"/>
          <w:lang w:val="de-DE"/>
        </w:rPr>
        <w:t xml:space="preserve"> thứ</w:t>
      </w:r>
      <w:r w:rsidRPr="002A2E9C">
        <w:rPr>
          <w:rFonts w:asciiTheme="majorHAnsi" w:hAnsiTheme="majorHAnsi" w:cstheme="majorHAnsi"/>
          <w:lang w:val="de-DE"/>
        </w:rPr>
        <w:t xml:space="preserve"> </w:t>
      </w:r>
      <w:r w:rsidR="00CF2081" w:rsidRPr="002A2E9C">
        <w:rPr>
          <w:rFonts w:asciiTheme="majorHAnsi" w:hAnsiTheme="majorHAnsi" w:cstheme="majorHAnsi"/>
          <w:lang w:val="de-DE"/>
        </w:rPr>
        <w:t>9</w:t>
      </w:r>
      <w:r w:rsidRPr="002A2E9C">
        <w:rPr>
          <w:rFonts w:asciiTheme="majorHAnsi" w:hAnsiTheme="majorHAnsi" w:cstheme="majorHAnsi"/>
          <w:lang w:val="de-DE"/>
        </w:rPr>
        <w:t xml:space="preserve"> </w:t>
      </w:r>
      <w:r w:rsidRPr="002A2E9C">
        <w:rPr>
          <w:rFonts w:asciiTheme="majorHAnsi" w:hAnsiTheme="majorHAnsi" w:cstheme="majorHAnsi"/>
        </w:rPr>
        <w:t>xem xét, quyết định./.</w:t>
      </w:r>
    </w:p>
    <w:tbl>
      <w:tblPr>
        <w:tblW w:w="5000" w:type="pct"/>
        <w:tblLook w:val="01E0" w:firstRow="1" w:lastRow="1" w:firstColumn="1" w:lastColumn="1" w:noHBand="0" w:noVBand="0"/>
      </w:tblPr>
      <w:tblGrid>
        <w:gridCol w:w="4446"/>
        <w:gridCol w:w="5124"/>
      </w:tblGrid>
      <w:tr w:rsidR="002A2E9C" w:rsidRPr="002A2E9C" w14:paraId="71C56596" w14:textId="77777777" w:rsidTr="00A36C4E">
        <w:tc>
          <w:tcPr>
            <w:tcW w:w="2323" w:type="pct"/>
          </w:tcPr>
          <w:p w14:paraId="4D87A8FA" w14:textId="77777777" w:rsidR="007253EC" w:rsidRPr="002A2E9C" w:rsidRDefault="007253EC" w:rsidP="00A36C4E">
            <w:pPr>
              <w:spacing w:before="60"/>
              <w:rPr>
                <w:rFonts w:asciiTheme="majorHAnsi" w:hAnsiTheme="majorHAnsi" w:cstheme="majorHAnsi"/>
                <w:b/>
                <w:i/>
                <w:sz w:val="24"/>
              </w:rPr>
            </w:pPr>
            <w:r w:rsidRPr="002A2E9C">
              <w:rPr>
                <w:rFonts w:asciiTheme="majorHAnsi" w:hAnsiTheme="majorHAnsi" w:cstheme="majorHAnsi"/>
                <w:b/>
                <w:i/>
                <w:sz w:val="24"/>
              </w:rPr>
              <w:t>Nơi nhận:</w:t>
            </w:r>
          </w:p>
          <w:p w14:paraId="7CB37CB1" w14:textId="77777777" w:rsidR="007D0862" w:rsidRPr="002A2E9C" w:rsidRDefault="007D0862" w:rsidP="007D0862">
            <w:pPr>
              <w:rPr>
                <w:rFonts w:asciiTheme="majorHAnsi" w:hAnsiTheme="majorHAnsi" w:cstheme="majorHAnsi"/>
                <w:sz w:val="22"/>
              </w:rPr>
            </w:pPr>
            <w:r w:rsidRPr="002A2E9C">
              <w:rPr>
                <w:rFonts w:asciiTheme="majorHAnsi" w:hAnsiTheme="majorHAnsi" w:cstheme="majorHAnsi"/>
                <w:sz w:val="22"/>
              </w:rPr>
              <w:t xml:space="preserve">- </w:t>
            </w:r>
            <w:r w:rsidRPr="002A2E9C">
              <w:rPr>
                <w:rFonts w:asciiTheme="majorHAnsi" w:hAnsiTheme="majorHAnsi" w:cstheme="majorHAnsi"/>
                <w:sz w:val="22"/>
                <w:lang w:val="de-DE"/>
              </w:rPr>
              <w:t>Thường trực</w:t>
            </w:r>
            <w:r w:rsidRPr="002A2E9C">
              <w:rPr>
                <w:rFonts w:asciiTheme="majorHAnsi" w:hAnsiTheme="majorHAnsi" w:cstheme="majorHAnsi"/>
                <w:sz w:val="22"/>
              </w:rPr>
              <w:t xml:space="preserve"> HĐND tỉnh;</w:t>
            </w:r>
          </w:p>
          <w:p w14:paraId="0CC3895E" w14:textId="77777777" w:rsidR="007D0862" w:rsidRPr="002A2E9C" w:rsidRDefault="007D0862" w:rsidP="007D0862">
            <w:pPr>
              <w:rPr>
                <w:rFonts w:asciiTheme="majorHAnsi" w:hAnsiTheme="majorHAnsi" w:cstheme="majorHAnsi"/>
                <w:sz w:val="22"/>
              </w:rPr>
            </w:pPr>
            <w:r w:rsidRPr="002A2E9C">
              <w:rPr>
                <w:rFonts w:asciiTheme="majorHAnsi" w:hAnsiTheme="majorHAnsi" w:cstheme="majorHAnsi"/>
                <w:sz w:val="22"/>
              </w:rPr>
              <w:t>- UBND tỉnh;</w:t>
            </w:r>
          </w:p>
          <w:p w14:paraId="44798063" w14:textId="77777777" w:rsidR="007D0862" w:rsidRPr="002A2E9C" w:rsidRDefault="007D0862" w:rsidP="007D0862">
            <w:pPr>
              <w:rPr>
                <w:rFonts w:asciiTheme="majorHAnsi" w:hAnsiTheme="majorHAnsi" w:cstheme="majorHAnsi"/>
                <w:sz w:val="22"/>
              </w:rPr>
            </w:pPr>
            <w:r w:rsidRPr="002A2E9C">
              <w:rPr>
                <w:rFonts w:asciiTheme="majorHAnsi" w:hAnsiTheme="majorHAnsi" w:cstheme="majorHAnsi"/>
                <w:sz w:val="22"/>
              </w:rPr>
              <w:t xml:space="preserve">- Đại biểu HĐND tỉnh; </w:t>
            </w:r>
            <w:r w:rsidRPr="002A2E9C">
              <w:rPr>
                <w:rFonts w:asciiTheme="majorHAnsi" w:hAnsiTheme="majorHAnsi" w:cstheme="majorHAnsi"/>
                <w:sz w:val="22"/>
              </w:rPr>
              <w:tab/>
            </w:r>
          </w:p>
          <w:p w14:paraId="2691E0A0" w14:textId="043F3A5F" w:rsidR="007253EC" w:rsidRPr="002A2E9C" w:rsidRDefault="007D0862" w:rsidP="007D0862">
            <w:pPr>
              <w:rPr>
                <w:rFonts w:asciiTheme="majorHAnsi" w:hAnsiTheme="majorHAnsi" w:cstheme="majorHAnsi"/>
              </w:rPr>
            </w:pPr>
            <w:r w:rsidRPr="002A2E9C">
              <w:rPr>
                <w:rFonts w:asciiTheme="majorHAnsi" w:hAnsiTheme="majorHAnsi" w:cstheme="majorHAnsi"/>
                <w:sz w:val="22"/>
              </w:rPr>
              <w:t>- Lưu: VT, KT-NS</w:t>
            </w:r>
            <w:r w:rsidRPr="002A2E9C">
              <w:rPr>
                <w:rFonts w:asciiTheme="majorHAnsi" w:hAnsiTheme="majorHAnsi" w:cstheme="majorHAnsi"/>
                <w:sz w:val="14"/>
              </w:rPr>
              <w:t>.</w:t>
            </w:r>
          </w:p>
        </w:tc>
        <w:tc>
          <w:tcPr>
            <w:tcW w:w="2677" w:type="pct"/>
          </w:tcPr>
          <w:p w14:paraId="45632C3F" w14:textId="77777777" w:rsidR="007253EC" w:rsidRPr="002A2E9C" w:rsidRDefault="007253EC" w:rsidP="00A36C4E">
            <w:pPr>
              <w:spacing w:before="60"/>
              <w:jc w:val="center"/>
              <w:rPr>
                <w:rFonts w:asciiTheme="majorHAnsi" w:hAnsiTheme="majorHAnsi" w:cstheme="majorHAnsi"/>
                <w:b/>
              </w:rPr>
            </w:pPr>
            <w:r w:rsidRPr="002A2E9C">
              <w:rPr>
                <w:rFonts w:asciiTheme="majorHAnsi" w:hAnsiTheme="majorHAnsi" w:cstheme="majorHAnsi"/>
                <w:b/>
              </w:rPr>
              <w:t>TM. BAN KINH TẾ - NGÂN SÁCH</w:t>
            </w:r>
          </w:p>
          <w:p w14:paraId="08A549BA" w14:textId="77777777" w:rsidR="007253EC" w:rsidRPr="002A2E9C" w:rsidRDefault="007253EC" w:rsidP="00A36C4E">
            <w:pPr>
              <w:jc w:val="center"/>
              <w:rPr>
                <w:rFonts w:asciiTheme="majorHAnsi" w:hAnsiTheme="majorHAnsi" w:cstheme="majorHAnsi"/>
                <w:b/>
              </w:rPr>
            </w:pPr>
            <w:r w:rsidRPr="002A2E9C">
              <w:rPr>
                <w:rFonts w:asciiTheme="majorHAnsi" w:hAnsiTheme="majorHAnsi" w:cstheme="majorHAnsi"/>
                <w:b/>
              </w:rPr>
              <w:t>TRƯỞNG BAN</w:t>
            </w:r>
          </w:p>
          <w:p w14:paraId="4696F28A" w14:textId="7F56C86F" w:rsidR="007253EC" w:rsidRPr="002A2E9C" w:rsidRDefault="0079565B" w:rsidP="0079565B">
            <w:pPr>
              <w:jc w:val="center"/>
              <w:rPr>
                <w:rFonts w:asciiTheme="majorHAnsi" w:hAnsiTheme="majorHAnsi" w:cstheme="majorHAnsi"/>
                <w:b/>
                <w:lang w:val="en-US"/>
              </w:rPr>
            </w:pPr>
            <w:r>
              <w:rPr>
                <w:rFonts w:asciiTheme="majorHAnsi" w:hAnsiTheme="majorHAnsi" w:cstheme="majorHAnsi"/>
                <w:b/>
                <w:lang w:val="en-US"/>
              </w:rPr>
              <w:t>Đã ký</w:t>
            </w:r>
            <w:bookmarkStart w:id="0" w:name="_GoBack"/>
            <w:bookmarkEnd w:id="0"/>
          </w:p>
          <w:p w14:paraId="6B62D16D" w14:textId="77777777" w:rsidR="00953692" w:rsidRPr="002A2E9C" w:rsidRDefault="00953692" w:rsidP="00A36C4E">
            <w:pPr>
              <w:rPr>
                <w:rFonts w:asciiTheme="majorHAnsi" w:hAnsiTheme="majorHAnsi" w:cstheme="majorHAnsi"/>
                <w:b/>
                <w:lang w:val="en-US"/>
              </w:rPr>
            </w:pPr>
          </w:p>
          <w:p w14:paraId="7F4E1696" w14:textId="77777777" w:rsidR="007253EC" w:rsidRPr="002A2E9C" w:rsidRDefault="007253EC" w:rsidP="00A36C4E">
            <w:pPr>
              <w:jc w:val="center"/>
              <w:rPr>
                <w:rFonts w:asciiTheme="majorHAnsi" w:hAnsiTheme="majorHAnsi" w:cstheme="majorHAnsi"/>
                <w:b/>
              </w:rPr>
            </w:pPr>
            <w:r w:rsidRPr="002A2E9C">
              <w:rPr>
                <w:rFonts w:asciiTheme="majorHAnsi" w:hAnsiTheme="majorHAnsi" w:cstheme="majorHAnsi"/>
                <w:b/>
              </w:rPr>
              <w:t>Hồ Văn Đà</w:t>
            </w:r>
          </w:p>
        </w:tc>
      </w:tr>
    </w:tbl>
    <w:p w14:paraId="36ECC19B" w14:textId="77777777" w:rsidR="008B7148" w:rsidRPr="002A2E9C" w:rsidRDefault="008B7148" w:rsidP="00764F30">
      <w:pPr>
        <w:spacing w:before="120" w:after="60"/>
        <w:ind w:firstLine="567"/>
        <w:rPr>
          <w:rFonts w:asciiTheme="majorHAnsi" w:hAnsiTheme="majorHAnsi" w:cstheme="majorHAnsi"/>
          <w:b/>
          <w:u w:val="single"/>
          <w:lang w:val="en-US"/>
        </w:rPr>
      </w:pPr>
    </w:p>
    <w:p w14:paraId="1BB11E86" w14:textId="77777777" w:rsidR="00D34718" w:rsidRPr="002A2E9C" w:rsidRDefault="00D34718" w:rsidP="00764F30">
      <w:pPr>
        <w:spacing w:before="120" w:after="60"/>
        <w:ind w:firstLine="567"/>
        <w:rPr>
          <w:rFonts w:asciiTheme="majorHAnsi" w:hAnsiTheme="majorHAnsi" w:cstheme="majorHAnsi"/>
          <w:b/>
          <w:u w:val="single"/>
          <w:lang w:val="en-US"/>
        </w:rPr>
      </w:pPr>
    </w:p>
    <w:p w14:paraId="7C285A52" w14:textId="7834DB77" w:rsidR="006003A9" w:rsidRPr="002A2E9C" w:rsidRDefault="006003A9">
      <w:pPr>
        <w:spacing w:after="200" w:line="276" w:lineRule="auto"/>
        <w:rPr>
          <w:rFonts w:asciiTheme="majorHAnsi" w:hAnsiTheme="majorHAnsi" w:cstheme="majorHAnsi"/>
          <w:b/>
          <w:lang w:val="en-US"/>
        </w:rPr>
      </w:pPr>
    </w:p>
    <w:sectPr w:rsidR="006003A9" w:rsidRPr="002A2E9C" w:rsidSect="003A17AF">
      <w:footerReference w:type="default" r:id="rId11"/>
      <w:pgSz w:w="11906" w:h="16838" w:code="9"/>
      <w:pgMar w:top="1134" w:right="851" w:bottom="1134" w:left="1701" w:header="709" w:footer="3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82FAC" w14:textId="77777777" w:rsidR="006C180C" w:rsidRDefault="006C180C" w:rsidP="00A31A5B">
      <w:r>
        <w:separator/>
      </w:r>
    </w:p>
  </w:endnote>
  <w:endnote w:type="continuationSeparator" w:id="0">
    <w:p w14:paraId="0C369257" w14:textId="77777777" w:rsidR="006C180C" w:rsidRDefault="006C180C" w:rsidP="00A31A5B">
      <w:r>
        <w:continuationSeparator/>
      </w:r>
    </w:p>
  </w:endnote>
  <w:endnote w:type="continuationNotice" w:id="1">
    <w:p w14:paraId="16CF0323" w14:textId="77777777" w:rsidR="006C180C" w:rsidRDefault="006C1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657297408"/>
      <w:docPartObj>
        <w:docPartGallery w:val="Page Numbers (Bottom of Page)"/>
        <w:docPartUnique/>
      </w:docPartObj>
    </w:sdtPr>
    <w:sdtEndPr>
      <w:rPr>
        <w:rFonts w:asciiTheme="majorHAnsi" w:hAnsiTheme="majorHAnsi" w:cstheme="majorHAnsi"/>
        <w:noProof/>
      </w:rPr>
    </w:sdtEndPr>
    <w:sdtContent>
      <w:p w14:paraId="5F08A33E" w14:textId="6618C98F" w:rsidR="00A36C4E" w:rsidRPr="00EB405F" w:rsidRDefault="00A36C4E">
        <w:pPr>
          <w:pStyle w:val="Footer"/>
          <w:jc w:val="right"/>
          <w:rPr>
            <w:rFonts w:asciiTheme="majorHAnsi" w:hAnsiTheme="majorHAnsi" w:cstheme="majorHAnsi"/>
          </w:rPr>
        </w:pPr>
        <w:r w:rsidRPr="00EB405F">
          <w:rPr>
            <w:rFonts w:asciiTheme="majorHAnsi" w:hAnsiTheme="majorHAnsi" w:cstheme="majorHAnsi"/>
            <w:noProof w:val="0"/>
          </w:rPr>
          <w:fldChar w:fldCharType="begin"/>
        </w:r>
        <w:r w:rsidRPr="00EB405F">
          <w:rPr>
            <w:rFonts w:asciiTheme="majorHAnsi" w:hAnsiTheme="majorHAnsi" w:cstheme="majorHAnsi"/>
          </w:rPr>
          <w:instrText xml:space="preserve"> PAGE   \* MERGEFORMAT </w:instrText>
        </w:r>
        <w:r w:rsidRPr="00EB405F">
          <w:rPr>
            <w:rFonts w:asciiTheme="majorHAnsi" w:hAnsiTheme="majorHAnsi" w:cstheme="majorHAnsi"/>
            <w:noProof w:val="0"/>
          </w:rPr>
          <w:fldChar w:fldCharType="separate"/>
        </w:r>
        <w:r w:rsidR="0079565B">
          <w:rPr>
            <w:rFonts w:asciiTheme="majorHAnsi" w:hAnsiTheme="majorHAnsi" w:cstheme="majorHAnsi"/>
          </w:rPr>
          <w:t>4</w:t>
        </w:r>
        <w:r w:rsidRPr="00EB405F">
          <w:rPr>
            <w:rFonts w:asciiTheme="majorHAnsi" w:hAnsiTheme="majorHAnsi" w:cstheme="majorHAnsi"/>
          </w:rPr>
          <w:fldChar w:fldCharType="end"/>
        </w:r>
      </w:p>
    </w:sdtContent>
  </w:sdt>
  <w:p w14:paraId="696B58D0" w14:textId="77777777" w:rsidR="00A36C4E" w:rsidRDefault="00A36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2D405" w14:textId="77777777" w:rsidR="006C180C" w:rsidRDefault="006C180C" w:rsidP="00A31A5B">
      <w:r>
        <w:separator/>
      </w:r>
    </w:p>
  </w:footnote>
  <w:footnote w:type="continuationSeparator" w:id="0">
    <w:p w14:paraId="3592F718" w14:textId="77777777" w:rsidR="006C180C" w:rsidRDefault="006C180C" w:rsidP="00A31A5B">
      <w:r>
        <w:continuationSeparator/>
      </w:r>
    </w:p>
  </w:footnote>
  <w:footnote w:type="continuationNotice" w:id="1">
    <w:p w14:paraId="397647C1" w14:textId="77777777" w:rsidR="006C180C" w:rsidRDefault="006C180C"/>
  </w:footnote>
  <w:footnote w:id="2">
    <w:p w14:paraId="0BA8A63C" w14:textId="46E4E11D" w:rsidR="00EB549C" w:rsidRPr="00426F5D" w:rsidRDefault="00EB549C" w:rsidP="00426F5D">
      <w:pPr>
        <w:pStyle w:val="FootnoteText"/>
        <w:jc w:val="both"/>
        <w:rPr>
          <w:lang w:val="vi-VN"/>
        </w:rPr>
      </w:pPr>
      <w:r w:rsidRPr="00426F5D">
        <w:rPr>
          <w:rStyle w:val="FootnoteReference"/>
          <w:lang w:val="vi-VN"/>
        </w:rPr>
        <w:footnoteRef/>
      </w:r>
      <w:r w:rsidRPr="00426F5D">
        <w:rPr>
          <w:lang w:val="vi-VN"/>
        </w:rPr>
        <w:t xml:space="preserve"> </w:t>
      </w:r>
      <w:r w:rsidR="007B5BCB" w:rsidRPr="00426F5D">
        <w:rPr>
          <w:lang w:val="vi-VN"/>
        </w:rPr>
        <w:t xml:space="preserve">Thông báo số 226/TB-VPCP ngày 04/7/2019 thông báo ý kiến kết luận của Phó Thủ tướng Vương Đình Huệ - Trưởng Ban Chỉ đạo điều hành giá tại cuộc họp Ban Chỉ đạo điều hành giá ngày 03/7/2019; </w:t>
      </w:r>
    </w:p>
  </w:footnote>
  <w:footnote w:id="3">
    <w:p w14:paraId="6ECE9D92" w14:textId="3FF41743" w:rsidR="007B5BCB" w:rsidRPr="00426F5D" w:rsidRDefault="007B5BCB" w:rsidP="00426F5D">
      <w:pPr>
        <w:pStyle w:val="FootnoteText"/>
        <w:jc w:val="both"/>
        <w:rPr>
          <w:lang w:val="vi-VN"/>
        </w:rPr>
      </w:pPr>
      <w:r w:rsidRPr="00426F5D">
        <w:rPr>
          <w:rStyle w:val="FootnoteReference"/>
          <w:lang w:val="vi-VN"/>
        </w:rPr>
        <w:footnoteRef/>
      </w:r>
      <w:r w:rsidRPr="00426F5D">
        <w:rPr>
          <w:lang w:val="vi-VN"/>
        </w:rPr>
        <w:t xml:space="preserve"> </w:t>
      </w:r>
      <w:r w:rsidRPr="00426F5D">
        <w:rPr>
          <w:lang w:val="vi-VN"/>
        </w:rPr>
        <w:t>Công văn số 4763/BYT-KH-TC ngày 16 tháng 8 năm 2019 của Bộ Y tế về việc triển khai Thông tư số 13/2019/TT-BYT và Thông tư số 14/2019/TT-BYT quy định về giá dịch vụ khám bệnh, chữa bệnh.</w:t>
      </w:r>
    </w:p>
  </w:footnote>
  <w:footnote w:id="4">
    <w:p w14:paraId="7326CFE9" w14:textId="358C403E" w:rsidR="00DF291D" w:rsidRPr="00426F5D" w:rsidRDefault="00DF291D" w:rsidP="00426F5D">
      <w:pPr>
        <w:pStyle w:val="FootnoteText"/>
        <w:jc w:val="both"/>
        <w:rPr>
          <w:lang w:val="vi-VN"/>
        </w:rPr>
      </w:pPr>
      <w:r w:rsidRPr="00426F5D">
        <w:rPr>
          <w:rStyle w:val="FootnoteReference"/>
          <w:lang w:val="vi-VN"/>
        </w:rPr>
        <w:footnoteRef/>
      </w:r>
      <w:r w:rsidRPr="00426F5D">
        <w:rPr>
          <w:lang w:val="vi-VN"/>
        </w:rPr>
        <w:t xml:space="preserve"> </w:t>
      </w:r>
      <w:r w:rsidRPr="00426F5D">
        <w:rPr>
          <w:lang w:val="vi-VN"/>
        </w:rPr>
        <w:t>Nhằm đảm bảo tính thống nhất giữa mức giá dịch vụ KCB người không có BHYT và người có BHYT trong cùng một cơ sở KCB.</w:t>
      </w:r>
    </w:p>
  </w:footnote>
  <w:footnote w:id="5">
    <w:p w14:paraId="5FA2704E" w14:textId="1E641E16" w:rsidR="00EE6C4E" w:rsidRPr="00426F5D" w:rsidRDefault="00EE6C4E" w:rsidP="00426F5D">
      <w:pPr>
        <w:pStyle w:val="FootnoteText"/>
        <w:jc w:val="both"/>
        <w:rPr>
          <w:lang w:val="vi-VN"/>
        </w:rPr>
      </w:pPr>
      <w:r w:rsidRPr="00426F5D">
        <w:rPr>
          <w:rStyle w:val="FootnoteReference"/>
          <w:lang w:val="vi-VN"/>
        </w:rPr>
        <w:footnoteRef/>
      </w:r>
      <w:r w:rsidRPr="00426F5D">
        <w:rPr>
          <w:lang w:val="vi-VN"/>
        </w:rPr>
        <w:t xml:space="preserve"> </w:t>
      </w:r>
      <w:r w:rsidRPr="00426F5D">
        <w:rPr>
          <w:lang w:val="vi-VN"/>
        </w:rPr>
        <w:t>Theo nhận định của Bộ Y tế tại Công văn số 4763/BYT-KH-TC ngày 16 tháng 8 năm 2019, tỷ lệ người dân tham gia BHYT cả nước đã đạt trên 89% dân số, nhiều địa phương đã đạt gần 100% nên việc điều chỉnh giá dịch vụ KBCB không thanh toán từ quỹ BHYT theo Thông tư số 14/2019/TT-BYT sẽ tác động không nhiều đến người dân và chỉ số giá tiêu dùng.</w:t>
      </w:r>
    </w:p>
  </w:footnote>
  <w:footnote w:id="6">
    <w:p w14:paraId="54E524C5" w14:textId="1DE942EA" w:rsidR="008A1A69" w:rsidRPr="0079565B" w:rsidRDefault="008A1A69" w:rsidP="00426F5D">
      <w:pPr>
        <w:pStyle w:val="FootnoteText"/>
        <w:jc w:val="both"/>
        <w:rPr>
          <w:lang w:val="vi-VN"/>
        </w:rPr>
      </w:pPr>
      <w:r w:rsidRPr="00426F5D">
        <w:rPr>
          <w:rStyle w:val="FootnoteReference"/>
          <w:lang w:val="vi-VN"/>
        </w:rPr>
        <w:footnoteRef/>
      </w:r>
      <w:r w:rsidRPr="00426F5D">
        <w:rPr>
          <w:lang w:val="vi-VN"/>
        </w:rPr>
        <w:t xml:space="preserve"> </w:t>
      </w:r>
      <w:r w:rsidRPr="00426F5D">
        <w:rPr>
          <w:rFonts w:asciiTheme="majorHAnsi" w:hAnsiTheme="majorHAnsi" w:cstheme="majorHAnsi"/>
          <w:lang w:val="vi-VN"/>
        </w:rPr>
        <w:t>Xóa bỏ bao cấp qua giá, thực hiện giá thị trường đối với các dịch vụ công có sự kiểm soát của Nhà nước. Chuyển dần ngân sách nhà nước cấp trực tiếp cho các cơ sở khám, chữa bệnh sang hỗ trợ người dân tham gia bảo hiểm y tế gắn với lộ trình tính đúng, tính đủ giá dịch vụ y tế</w:t>
      </w:r>
      <w:r w:rsidR="00201EB1" w:rsidRPr="0079565B">
        <w:rPr>
          <w:rFonts w:asciiTheme="majorHAnsi" w:hAnsiTheme="majorHAnsi" w:cstheme="majorHAnsi"/>
          <w:lang w:val="vi-VN"/>
        </w:rPr>
        <w:t>.</w:t>
      </w:r>
    </w:p>
  </w:footnote>
  <w:footnote w:id="7">
    <w:p w14:paraId="75C082A6" w14:textId="77777777" w:rsidR="008A1A69" w:rsidRPr="00426F5D" w:rsidRDefault="008A1A69" w:rsidP="00426F5D">
      <w:pPr>
        <w:pStyle w:val="FootnoteText"/>
        <w:jc w:val="both"/>
        <w:rPr>
          <w:lang w:val="vi-VN"/>
        </w:rPr>
      </w:pPr>
      <w:r w:rsidRPr="00426F5D">
        <w:rPr>
          <w:rStyle w:val="FootnoteReference"/>
          <w:lang w:val="vi-VN"/>
        </w:rPr>
        <w:footnoteRef/>
      </w:r>
      <w:r w:rsidRPr="00426F5D">
        <w:rPr>
          <w:lang w:val="vi-VN"/>
        </w:rPr>
        <w:t xml:space="preserve"> Nghị định số 16/2015/NĐ-CP ngày 14/02/2019 của Chính phủ; Thông báo kết luận số 226/TB-VPCP ngày 04/7/2019 của Phó Thủ tướng Vương Đình Huệ - Trưởng Ban chỉ đạo điều hành giá tại cuộc họp Ban chỉ đạo điều hành giá ngày 03 tháng 07 năm 2019.</w:t>
      </w:r>
    </w:p>
  </w:footnote>
  <w:footnote w:id="8">
    <w:p w14:paraId="7561242B" w14:textId="103D9E28" w:rsidR="008A1A69" w:rsidRPr="00426F5D" w:rsidRDefault="008A1A69" w:rsidP="00426F5D">
      <w:pPr>
        <w:pStyle w:val="FootnoteText"/>
        <w:jc w:val="both"/>
        <w:rPr>
          <w:lang w:val="vi-VN"/>
        </w:rPr>
      </w:pPr>
      <w:r w:rsidRPr="00426F5D">
        <w:rPr>
          <w:rStyle w:val="FootnoteReference"/>
          <w:lang w:val="vi-VN"/>
        </w:rPr>
        <w:footnoteRef/>
      </w:r>
      <w:r w:rsidRPr="00426F5D">
        <w:rPr>
          <w:lang w:val="vi-VN"/>
        </w:rPr>
        <w:t xml:space="preserve"> </w:t>
      </w:r>
      <w:r w:rsidRPr="00426F5D">
        <w:rPr>
          <w:lang w:val="vi-VN"/>
        </w:rPr>
        <w:t xml:space="preserve">Quyết định số 470/QĐ-UBND ngày 11/5/2018 của </w:t>
      </w:r>
      <w:r w:rsidR="001F3868" w:rsidRPr="0079565B">
        <w:rPr>
          <w:lang w:val="vi-VN"/>
        </w:rPr>
        <w:t>Ủy ban nhân dân</w:t>
      </w:r>
      <w:r w:rsidRPr="00426F5D">
        <w:rPr>
          <w:lang w:val="vi-VN"/>
        </w:rPr>
        <w:t xml:space="preserve"> tỉnh, theo đó, trong giai đoạn 2020 - 2025 một số đơn vị phải tự đảm bảo toàn bộ chi thường xuyên gồm: Bệnh viện Đa khoa tỉnh; Bệnh viện Đa khoa khu vực Ngọc Hồi; 01 đơn vị trên cơ sở hợp nhất Bệnh viện Phục hồi chức năng và Bệnh viện Y dược cổ truyền; Trung tâm Y tế huyện Đăk Glei; Trung tâm Y tế huyện Đăk Tô; Trung tâm Y tế huyện Đăk Hà; Trung tâm Y tế huyện Sa Thầy.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298A"/>
    <w:rsid w:val="00003DEA"/>
    <w:rsid w:val="00006340"/>
    <w:rsid w:val="000202BD"/>
    <w:rsid w:val="00022352"/>
    <w:rsid w:val="00024B53"/>
    <w:rsid w:val="0002586F"/>
    <w:rsid w:val="00026055"/>
    <w:rsid w:val="00032C57"/>
    <w:rsid w:val="00034489"/>
    <w:rsid w:val="000410A5"/>
    <w:rsid w:val="00042C6E"/>
    <w:rsid w:val="00047289"/>
    <w:rsid w:val="0005203F"/>
    <w:rsid w:val="00061119"/>
    <w:rsid w:val="00065A8F"/>
    <w:rsid w:val="000660A3"/>
    <w:rsid w:val="00076CEE"/>
    <w:rsid w:val="00080100"/>
    <w:rsid w:val="00080BC5"/>
    <w:rsid w:val="00081F6E"/>
    <w:rsid w:val="0008531B"/>
    <w:rsid w:val="000862C1"/>
    <w:rsid w:val="000902EB"/>
    <w:rsid w:val="00096356"/>
    <w:rsid w:val="000A57DA"/>
    <w:rsid w:val="000B4DE3"/>
    <w:rsid w:val="000C6B4E"/>
    <w:rsid w:val="000C795C"/>
    <w:rsid w:val="000D2774"/>
    <w:rsid w:val="000D70F9"/>
    <w:rsid w:val="000E0ADB"/>
    <w:rsid w:val="000E3377"/>
    <w:rsid w:val="000E34B8"/>
    <w:rsid w:val="000E6198"/>
    <w:rsid w:val="000F09B5"/>
    <w:rsid w:val="000F1059"/>
    <w:rsid w:val="000F3D6F"/>
    <w:rsid w:val="000F7DEE"/>
    <w:rsid w:val="0010180A"/>
    <w:rsid w:val="0010345A"/>
    <w:rsid w:val="00113F6B"/>
    <w:rsid w:val="00116BCD"/>
    <w:rsid w:val="00120482"/>
    <w:rsid w:val="001224A3"/>
    <w:rsid w:val="00122AAC"/>
    <w:rsid w:val="00130C6C"/>
    <w:rsid w:val="00137B7A"/>
    <w:rsid w:val="00142CDC"/>
    <w:rsid w:val="00146E50"/>
    <w:rsid w:val="00161748"/>
    <w:rsid w:val="0016199D"/>
    <w:rsid w:val="001677CE"/>
    <w:rsid w:val="00167B63"/>
    <w:rsid w:val="00171554"/>
    <w:rsid w:val="00171B2E"/>
    <w:rsid w:val="001728E1"/>
    <w:rsid w:val="0017355D"/>
    <w:rsid w:val="00174E16"/>
    <w:rsid w:val="001817FF"/>
    <w:rsid w:val="001831C0"/>
    <w:rsid w:val="001866D6"/>
    <w:rsid w:val="001915FA"/>
    <w:rsid w:val="001B0752"/>
    <w:rsid w:val="001B243B"/>
    <w:rsid w:val="001B4E60"/>
    <w:rsid w:val="001B4FC7"/>
    <w:rsid w:val="001B5DB8"/>
    <w:rsid w:val="001C2AA1"/>
    <w:rsid w:val="001D1F46"/>
    <w:rsid w:val="001D6301"/>
    <w:rsid w:val="001E378C"/>
    <w:rsid w:val="001F21D5"/>
    <w:rsid w:val="001F3868"/>
    <w:rsid w:val="001F5358"/>
    <w:rsid w:val="001F7162"/>
    <w:rsid w:val="00201EB1"/>
    <w:rsid w:val="00210031"/>
    <w:rsid w:val="002106F9"/>
    <w:rsid w:val="0021081A"/>
    <w:rsid w:val="00223B22"/>
    <w:rsid w:val="0023441E"/>
    <w:rsid w:val="00234D4B"/>
    <w:rsid w:val="00240FDC"/>
    <w:rsid w:val="00244ED3"/>
    <w:rsid w:val="00256BB7"/>
    <w:rsid w:val="00261B65"/>
    <w:rsid w:val="0026695B"/>
    <w:rsid w:val="00276290"/>
    <w:rsid w:val="00277763"/>
    <w:rsid w:val="00277E78"/>
    <w:rsid w:val="00283B50"/>
    <w:rsid w:val="00284A3C"/>
    <w:rsid w:val="002853F0"/>
    <w:rsid w:val="002908D7"/>
    <w:rsid w:val="00296DEB"/>
    <w:rsid w:val="002A2E9C"/>
    <w:rsid w:val="002A6479"/>
    <w:rsid w:val="002B2F28"/>
    <w:rsid w:val="002C1A92"/>
    <w:rsid w:val="002D05DE"/>
    <w:rsid w:val="002D1462"/>
    <w:rsid w:val="002E0F93"/>
    <w:rsid w:val="002E5D4A"/>
    <w:rsid w:val="002E5D8D"/>
    <w:rsid w:val="002E7EDD"/>
    <w:rsid w:val="002F19EA"/>
    <w:rsid w:val="002F6FC2"/>
    <w:rsid w:val="002F70DF"/>
    <w:rsid w:val="002F7C55"/>
    <w:rsid w:val="003126A8"/>
    <w:rsid w:val="00314021"/>
    <w:rsid w:val="00322367"/>
    <w:rsid w:val="003262D2"/>
    <w:rsid w:val="00337216"/>
    <w:rsid w:val="00342D07"/>
    <w:rsid w:val="00346204"/>
    <w:rsid w:val="0035067F"/>
    <w:rsid w:val="00356A53"/>
    <w:rsid w:val="00362DA5"/>
    <w:rsid w:val="00365197"/>
    <w:rsid w:val="0037088C"/>
    <w:rsid w:val="0037415C"/>
    <w:rsid w:val="0038216E"/>
    <w:rsid w:val="0038314B"/>
    <w:rsid w:val="00392F33"/>
    <w:rsid w:val="00393763"/>
    <w:rsid w:val="00395928"/>
    <w:rsid w:val="003973FD"/>
    <w:rsid w:val="003A17AF"/>
    <w:rsid w:val="003A380B"/>
    <w:rsid w:val="003A4451"/>
    <w:rsid w:val="003A4F81"/>
    <w:rsid w:val="003A77E6"/>
    <w:rsid w:val="003A7EEB"/>
    <w:rsid w:val="003B4DF1"/>
    <w:rsid w:val="003B508A"/>
    <w:rsid w:val="003C2110"/>
    <w:rsid w:val="003C2A52"/>
    <w:rsid w:val="003D53F9"/>
    <w:rsid w:val="00404332"/>
    <w:rsid w:val="0040748D"/>
    <w:rsid w:val="00417DC3"/>
    <w:rsid w:val="004215AD"/>
    <w:rsid w:val="00426773"/>
    <w:rsid w:val="00426F5D"/>
    <w:rsid w:val="00430E9B"/>
    <w:rsid w:val="00434481"/>
    <w:rsid w:val="004371DC"/>
    <w:rsid w:val="00444072"/>
    <w:rsid w:val="004453D0"/>
    <w:rsid w:val="00446094"/>
    <w:rsid w:val="00451635"/>
    <w:rsid w:val="00452EA8"/>
    <w:rsid w:val="0045329A"/>
    <w:rsid w:val="00453560"/>
    <w:rsid w:val="00457EBE"/>
    <w:rsid w:val="0046424A"/>
    <w:rsid w:val="00470E70"/>
    <w:rsid w:val="00471142"/>
    <w:rsid w:val="004860C5"/>
    <w:rsid w:val="0048661A"/>
    <w:rsid w:val="004928F8"/>
    <w:rsid w:val="00493C82"/>
    <w:rsid w:val="00495E66"/>
    <w:rsid w:val="004970D9"/>
    <w:rsid w:val="004A3820"/>
    <w:rsid w:val="004A3CF7"/>
    <w:rsid w:val="004A5FC2"/>
    <w:rsid w:val="004A7EA9"/>
    <w:rsid w:val="004B0390"/>
    <w:rsid w:val="004B2C23"/>
    <w:rsid w:val="004C3374"/>
    <w:rsid w:val="004C3549"/>
    <w:rsid w:val="004D226E"/>
    <w:rsid w:val="004D445C"/>
    <w:rsid w:val="004D53ED"/>
    <w:rsid w:val="004D67F4"/>
    <w:rsid w:val="004D6CBD"/>
    <w:rsid w:val="004D6D67"/>
    <w:rsid w:val="004D7268"/>
    <w:rsid w:val="004F4097"/>
    <w:rsid w:val="004F59B0"/>
    <w:rsid w:val="00500917"/>
    <w:rsid w:val="0050550F"/>
    <w:rsid w:val="00507561"/>
    <w:rsid w:val="00510DEB"/>
    <w:rsid w:val="0051476D"/>
    <w:rsid w:val="00514925"/>
    <w:rsid w:val="00515224"/>
    <w:rsid w:val="00515C88"/>
    <w:rsid w:val="00532A5F"/>
    <w:rsid w:val="00537D3B"/>
    <w:rsid w:val="00540058"/>
    <w:rsid w:val="005507E7"/>
    <w:rsid w:val="00550B64"/>
    <w:rsid w:val="00551628"/>
    <w:rsid w:val="00560DD3"/>
    <w:rsid w:val="0056165D"/>
    <w:rsid w:val="00563A24"/>
    <w:rsid w:val="00580C96"/>
    <w:rsid w:val="00585C48"/>
    <w:rsid w:val="005900C3"/>
    <w:rsid w:val="005950BA"/>
    <w:rsid w:val="005974E0"/>
    <w:rsid w:val="005A0149"/>
    <w:rsid w:val="005A2416"/>
    <w:rsid w:val="005A5A0F"/>
    <w:rsid w:val="005A7FC9"/>
    <w:rsid w:val="005B0431"/>
    <w:rsid w:val="005B278C"/>
    <w:rsid w:val="005B4CC2"/>
    <w:rsid w:val="005B7E3F"/>
    <w:rsid w:val="005C121F"/>
    <w:rsid w:val="005C3CE6"/>
    <w:rsid w:val="005C756A"/>
    <w:rsid w:val="005D1B89"/>
    <w:rsid w:val="005D7976"/>
    <w:rsid w:val="005E09EC"/>
    <w:rsid w:val="005E0ABE"/>
    <w:rsid w:val="005F1369"/>
    <w:rsid w:val="005F1BB6"/>
    <w:rsid w:val="005F2A5B"/>
    <w:rsid w:val="005F725E"/>
    <w:rsid w:val="0060025E"/>
    <w:rsid w:val="006003A9"/>
    <w:rsid w:val="00602021"/>
    <w:rsid w:val="006023B2"/>
    <w:rsid w:val="0060389B"/>
    <w:rsid w:val="00603A36"/>
    <w:rsid w:val="0061163E"/>
    <w:rsid w:val="00615D40"/>
    <w:rsid w:val="0061715B"/>
    <w:rsid w:val="00620861"/>
    <w:rsid w:val="00620A55"/>
    <w:rsid w:val="0062306B"/>
    <w:rsid w:val="00626E14"/>
    <w:rsid w:val="00627657"/>
    <w:rsid w:val="00637911"/>
    <w:rsid w:val="00645BDD"/>
    <w:rsid w:val="00647A0C"/>
    <w:rsid w:val="006616A7"/>
    <w:rsid w:val="00691440"/>
    <w:rsid w:val="006931B1"/>
    <w:rsid w:val="0069580F"/>
    <w:rsid w:val="006A18C5"/>
    <w:rsid w:val="006B44F4"/>
    <w:rsid w:val="006B6E51"/>
    <w:rsid w:val="006C180C"/>
    <w:rsid w:val="006C2189"/>
    <w:rsid w:val="006C389C"/>
    <w:rsid w:val="006D1134"/>
    <w:rsid w:val="006E0F0B"/>
    <w:rsid w:val="006E0F67"/>
    <w:rsid w:val="006E1A89"/>
    <w:rsid w:val="006E75D2"/>
    <w:rsid w:val="006F27D7"/>
    <w:rsid w:val="006F6157"/>
    <w:rsid w:val="006F6C5D"/>
    <w:rsid w:val="007000B3"/>
    <w:rsid w:val="007201A5"/>
    <w:rsid w:val="00720ADD"/>
    <w:rsid w:val="007253EC"/>
    <w:rsid w:val="00726CD7"/>
    <w:rsid w:val="00730356"/>
    <w:rsid w:val="0073074E"/>
    <w:rsid w:val="007340E7"/>
    <w:rsid w:val="0073700B"/>
    <w:rsid w:val="00746E52"/>
    <w:rsid w:val="0075256A"/>
    <w:rsid w:val="00753086"/>
    <w:rsid w:val="00754B86"/>
    <w:rsid w:val="00757BE7"/>
    <w:rsid w:val="0076169E"/>
    <w:rsid w:val="007626DA"/>
    <w:rsid w:val="00764F30"/>
    <w:rsid w:val="0076647F"/>
    <w:rsid w:val="00767029"/>
    <w:rsid w:val="00772A6D"/>
    <w:rsid w:val="00773AD7"/>
    <w:rsid w:val="00784213"/>
    <w:rsid w:val="00786C5F"/>
    <w:rsid w:val="0079565B"/>
    <w:rsid w:val="007A1A03"/>
    <w:rsid w:val="007A3B1A"/>
    <w:rsid w:val="007B24B4"/>
    <w:rsid w:val="007B5BCB"/>
    <w:rsid w:val="007B5C35"/>
    <w:rsid w:val="007B6622"/>
    <w:rsid w:val="007C17F1"/>
    <w:rsid w:val="007D0862"/>
    <w:rsid w:val="007D0FD2"/>
    <w:rsid w:val="007D21EA"/>
    <w:rsid w:val="007E3A51"/>
    <w:rsid w:val="007E4105"/>
    <w:rsid w:val="007E7596"/>
    <w:rsid w:val="007F1332"/>
    <w:rsid w:val="007F194B"/>
    <w:rsid w:val="007F21D5"/>
    <w:rsid w:val="007F44A6"/>
    <w:rsid w:val="007F4D3E"/>
    <w:rsid w:val="007F62BA"/>
    <w:rsid w:val="007F78AF"/>
    <w:rsid w:val="00801F22"/>
    <w:rsid w:val="00820619"/>
    <w:rsid w:val="008243D8"/>
    <w:rsid w:val="008253E7"/>
    <w:rsid w:val="008268FC"/>
    <w:rsid w:val="00834D9A"/>
    <w:rsid w:val="00837EB2"/>
    <w:rsid w:val="008440FA"/>
    <w:rsid w:val="008466B0"/>
    <w:rsid w:val="00850080"/>
    <w:rsid w:val="00854B5A"/>
    <w:rsid w:val="0086209D"/>
    <w:rsid w:val="0086765E"/>
    <w:rsid w:val="00872BF1"/>
    <w:rsid w:val="0087701E"/>
    <w:rsid w:val="008774AC"/>
    <w:rsid w:val="0088580C"/>
    <w:rsid w:val="00892F52"/>
    <w:rsid w:val="0089378A"/>
    <w:rsid w:val="00893DB1"/>
    <w:rsid w:val="00896785"/>
    <w:rsid w:val="00896F66"/>
    <w:rsid w:val="008A1A69"/>
    <w:rsid w:val="008A47AE"/>
    <w:rsid w:val="008A4C09"/>
    <w:rsid w:val="008B1FD7"/>
    <w:rsid w:val="008B3687"/>
    <w:rsid w:val="008B6B4A"/>
    <w:rsid w:val="008B7138"/>
    <w:rsid w:val="008B7148"/>
    <w:rsid w:val="008C656F"/>
    <w:rsid w:val="008D6C08"/>
    <w:rsid w:val="008D7CE9"/>
    <w:rsid w:val="008E1CEA"/>
    <w:rsid w:val="008E5EDD"/>
    <w:rsid w:val="008E6300"/>
    <w:rsid w:val="008E64DA"/>
    <w:rsid w:val="008F3B72"/>
    <w:rsid w:val="008F49C8"/>
    <w:rsid w:val="008F5165"/>
    <w:rsid w:val="008F7A28"/>
    <w:rsid w:val="009004C3"/>
    <w:rsid w:val="00901284"/>
    <w:rsid w:val="00903475"/>
    <w:rsid w:val="00903FAB"/>
    <w:rsid w:val="0090477F"/>
    <w:rsid w:val="009143B8"/>
    <w:rsid w:val="00915F6B"/>
    <w:rsid w:val="00936043"/>
    <w:rsid w:val="00944567"/>
    <w:rsid w:val="009479D2"/>
    <w:rsid w:val="009510DC"/>
    <w:rsid w:val="009516C3"/>
    <w:rsid w:val="009530C4"/>
    <w:rsid w:val="00953692"/>
    <w:rsid w:val="009547CF"/>
    <w:rsid w:val="00956426"/>
    <w:rsid w:val="00971108"/>
    <w:rsid w:val="009733E9"/>
    <w:rsid w:val="009809CE"/>
    <w:rsid w:val="00991B72"/>
    <w:rsid w:val="00992258"/>
    <w:rsid w:val="00994B70"/>
    <w:rsid w:val="009A2FA6"/>
    <w:rsid w:val="009A49F3"/>
    <w:rsid w:val="009A6937"/>
    <w:rsid w:val="009B6C9B"/>
    <w:rsid w:val="009C5B34"/>
    <w:rsid w:val="009D0DCA"/>
    <w:rsid w:val="009D41F5"/>
    <w:rsid w:val="009D6134"/>
    <w:rsid w:val="009D7044"/>
    <w:rsid w:val="009E2ACE"/>
    <w:rsid w:val="009E4B0A"/>
    <w:rsid w:val="009F09E6"/>
    <w:rsid w:val="009F1386"/>
    <w:rsid w:val="009F41D3"/>
    <w:rsid w:val="00A02F03"/>
    <w:rsid w:val="00A04D70"/>
    <w:rsid w:val="00A10BEB"/>
    <w:rsid w:val="00A11D40"/>
    <w:rsid w:val="00A203D3"/>
    <w:rsid w:val="00A250F6"/>
    <w:rsid w:val="00A307E2"/>
    <w:rsid w:val="00A30CED"/>
    <w:rsid w:val="00A31A5B"/>
    <w:rsid w:val="00A36C4E"/>
    <w:rsid w:val="00A36CE8"/>
    <w:rsid w:val="00A44A41"/>
    <w:rsid w:val="00A46EC2"/>
    <w:rsid w:val="00A5192E"/>
    <w:rsid w:val="00A55233"/>
    <w:rsid w:val="00A56464"/>
    <w:rsid w:val="00A564B1"/>
    <w:rsid w:val="00A57829"/>
    <w:rsid w:val="00A61146"/>
    <w:rsid w:val="00A7056A"/>
    <w:rsid w:val="00A71B7F"/>
    <w:rsid w:val="00A735FA"/>
    <w:rsid w:val="00A81A57"/>
    <w:rsid w:val="00A91D64"/>
    <w:rsid w:val="00A94B41"/>
    <w:rsid w:val="00A96A45"/>
    <w:rsid w:val="00AA0C12"/>
    <w:rsid w:val="00AA24DE"/>
    <w:rsid w:val="00AA564B"/>
    <w:rsid w:val="00AA6754"/>
    <w:rsid w:val="00AA7BCE"/>
    <w:rsid w:val="00AB338D"/>
    <w:rsid w:val="00AC0C55"/>
    <w:rsid w:val="00AD17E6"/>
    <w:rsid w:val="00AD3329"/>
    <w:rsid w:val="00AE0210"/>
    <w:rsid w:val="00AE7EAA"/>
    <w:rsid w:val="00AF2F70"/>
    <w:rsid w:val="00AF58BA"/>
    <w:rsid w:val="00AF5AD2"/>
    <w:rsid w:val="00B03058"/>
    <w:rsid w:val="00B11356"/>
    <w:rsid w:val="00B12293"/>
    <w:rsid w:val="00B155ED"/>
    <w:rsid w:val="00B16F60"/>
    <w:rsid w:val="00B25DF3"/>
    <w:rsid w:val="00B25E76"/>
    <w:rsid w:val="00B44513"/>
    <w:rsid w:val="00B47618"/>
    <w:rsid w:val="00B50F0A"/>
    <w:rsid w:val="00B54247"/>
    <w:rsid w:val="00B57837"/>
    <w:rsid w:val="00B60C71"/>
    <w:rsid w:val="00B61F54"/>
    <w:rsid w:val="00B76909"/>
    <w:rsid w:val="00B8010C"/>
    <w:rsid w:val="00B81BB0"/>
    <w:rsid w:val="00B87B6D"/>
    <w:rsid w:val="00B90DED"/>
    <w:rsid w:val="00B95566"/>
    <w:rsid w:val="00BA4503"/>
    <w:rsid w:val="00BA7129"/>
    <w:rsid w:val="00BB1794"/>
    <w:rsid w:val="00BB4D18"/>
    <w:rsid w:val="00BB58D7"/>
    <w:rsid w:val="00BC0CBB"/>
    <w:rsid w:val="00BC2F73"/>
    <w:rsid w:val="00BC5AE0"/>
    <w:rsid w:val="00BD2B67"/>
    <w:rsid w:val="00BD3B44"/>
    <w:rsid w:val="00BD5FF6"/>
    <w:rsid w:val="00BE3266"/>
    <w:rsid w:val="00BE43CC"/>
    <w:rsid w:val="00BE786E"/>
    <w:rsid w:val="00BF293D"/>
    <w:rsid w:val="00C04EF9"/>
    <w:rsid w:val="00C12A07"/>
    <w:rsid w:val="00C2485A"/>
    <w:rsid w:val="00C34E3E"/>
    <w:rsid w:val="00C35CE2"/>
    <w:rsid w:val="00C36912"/>
    <w:rsid w:val="00C37FE6"/>
    <w:rsid w:val="00C424A0"/>
    <w:rsid w:val="00C6552E"/>
    <w:rsid w:val="00C74572"/>
    <w:rsid w:val="00C75975"/>
    <w:rsid w:val="00C84F4A"/>
    <w:rsid w:val="00C8545B"/>
    <w:rsid w:val="00C87942"/>
    <w:rsid w:val="00C93245"/>
    <w:rsid w:val="00C936F1"/>
    <w:rsid w:val="00C95DDF"/>
    <w:rsid w:val="00C963E5"/>
    <w:rsid w:val="00C97B0C"/>
    <w:rsid w:val="00CA001E"/>
    <w:rsid w:val="00CA04B0"/>
    <w:rsid w:val="00CA3755"/>
    <w:rsid w:val="00CA656A"/>
    <w:rsid w:val="00CA73D4"/>
    <w:rsid w:val="00CC4412"/>
    <w:rsid w:val="00CC4EB3"/>
    <w:rsid w:val="00CC7881"/>
    <w:rsid w:val="00CD26DB"/>
    <w:rsid w:val="00CD4CCA"/>
    <w:rsid w:val="00CD63B8"/>
    <w:rsid w:val="00CD7B36"/>
    <w:rsid w:val="00CE37F6"/>
    <w:rsid w:val="00CF0092"/>
    <w:rsid w:val="00CF0C41"/>
    <w:rsid w:val="00CF2081"/>
    <w:rsid w:val="00D10EEA"/>
    <w:rsid w:val="00D13BDF"/>
    <w:rsid w:val="00D152E2"/>
    <w:rsid w:val="00D15F50"/>
    <w:rsid w:val="00D22A02"/>
    <w:rsid w:val="00D23A0D"/>
    <w:rsid w:val="00D31B2A"/>
    <w:rsid w:val="00D33F2D"/>
    <w:rsid w:val="00D34718"/>
    <w:rsid w:val="00D40687"/>
    <w:rsid w:val="00D437C9"/>
    <w:rsid w:val="00D44E4A"/>
    <w:rsid w:val="00D45277"/>
    <w:rsid w:val="00D467AA"/>
    <w:rsid w:val="00D56A50"/>
    <w:rsid w:val="00D6435F"/>
    <w:rsid w:val="00D7237C"/>
    <w:rsid w:val="00D83AD8"/>
    <w:rsid w:val="00D84497"/>
    <w:rsid w:val="00D85A6A"/>
    <w:rsid w:val="00DA4734"/>
    <w:rsid w:val="00DA77E9"/>
    <w:rsid w:val="00DB320A"/>
    <w:rsid w:val="00DB3CD1"/>
    <w:rsid w:val="00DB4D04"/>
    <w:rsid w:val="00DB5671"/>
    <w:rsid w:val="00DB7759"/>
    <w:rsid w:val="00DB79B1"/>
    <w:rsid w:val="00DC7198"/>
    <w:rsid w:val="00DE1946"/>
    <w:rsid w:val="00DE2E9E"/>
    <w:rsid w:val="00DE4141"/>
    <w:rsid w:val="00DE5176"/>
    <w:rsid w:val="00DE6159"/>
    <w:rsid w:val="00DF291D"/>
    <w:rsid w:val="00E0396C"/>
    <w:rsid w:val="00E03C85"/>
    <w:rsid w:val="00E14443"/>
    <w:rsid w:val="00E15898"/>
    <w:rsid w:val="00E26402"/>
    <w:rsid w:val="00E32239"/>
    <w:rsid w:val="00E327B1"/>
    <w:rsid w:val="00E4116D"/>
    <w:rsid w:val="00E438AE"/>
    <w:rsid w:val="00E555F8"/>
    <w:rsid w:val="00E56C89"/>
    <w:rsid w:val="00E56D87"/>
    <w:rsid w:val="00E60E31"/>
    <w:rsid w:val="00E63E7F"/>
    <w:rsid w:val="00E644E0"/>
    <w:rsid w:val="00E7047C"/>
    <w:rsid w:val="00E76747"/>
    <w:rsid w:val="00E94365"/>
    <w:rsid w:val="00E97EA5"/>
    <w:rsid w:val="00EA1478"/>
    <w:rsid w:val="00EA706F"/>
    <w:rsid w:val="00EB405F"/>
    <w:rsid w:val="00EB549C"/>
    <w:rsid w:val="00EB5D6B"/>
    <w:rsid w:val="00EB5ECD"/>
    <w:rsid w:val="00EB62F6"/>
    <w:rsid w:val="00EC3CDE"/>
    <w:rsid w:val="00EC49D9"/>
    <w:rsid w:val="00EC768B"/>
    <w:rsid w:val="00ED3D26"/>
    <w:rsid w:val="00ED69A1"/>
    <w:rsid w:val="00ED6EBE"/>
    <w:rsid w:val="00EE0865"/>
    <w:rsid w:val="00EE21A9"/>
    <w:rsid w:val="00EE3015"/>
    <w:rsid w:val="00EE3E78"/>
    <w:rsid w:val="00EE6C4E"/>
    <w:rsid w:val="00EE7C98"/>
    <w:rsid w:val="00EF136F"/>
    <w:rsid w:val="00EF5EB1"/>
    <w:rsid w:val="00EF65F7"/>
    <w:rsid w:val="00F025F2"/>
    <w:rsid w:val="00F05957"/>
    <w:rsid w:val="00F113F6"/>
    <w:rsid w:val="00F14E37"/>
    <w:rsid w:val="00F216B2"/>
    <w:rsid w:val="00F22851"/>
    <w:rsid w:val="00F27AF1"/>
    <w:rsid w:val="00F27EB2"/>
    <w:rsid w:val="00F300DD"/>
    <w:rsid w:val="00F32229"/>
    <w:rsid w:val="00F32BA8"/>
    <w:rsid w:val="00F33111"/>
    <w:rsid w:val="00F37D3F"/>
    <w:rsid w:val="00F42DBE"/>
    <w:rsid w:val="00F4448B"/>
    <w:rsid w:val="00F46FDE"/>
    <w:rsid w:val="00F54207"/>
    <w:rsid w:val="00F558D5"/>
    <w:rsid w:val="00F55A65"/>
    <w:rsid w:val="00F623DD"/>
    <w:rsid w:val="00F65852"/>
    <w:rsid w:val="00F74E8B"/>
    <w:rsid w:val="00F76B3E"/>
    <w:rsid w:val="00F826E2"/>
    <w:rsid w:val="00F876B0"/>
    <w:rsid w:val="00F90B34"/>
    <w:rsid w:val="00F91869"/>
    <w:rsid w:val="00F93566"/>
    <w:rsid w:val="00FA73B5"/>
    <w:rsid w:val="00FC1DEB"/>
    <w:rsid w:val="00FC2897"/>
    <w:rsid w:val="00FD3D05"/>
    <w:rsid w:val="00FE4DFF"/>
    <w:rsid w:val="00FF61FA"/>
    <w:rsid w:val="00FF6361"/>
    <w:rsid w:val="00FF65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unhideWhenUsed/>
    <w:rsid w:val="007F1332"/>
    <w:pPr>
      <w:spacing w:after="120"/>
    </w:pPr>
  </w:style>
  <w:style w:type="character" w:customStyle="1" w:styleId="BodyTextChar">
    <w:name w:val="Body Text Char"/>
    <w:basedOn w:val="DefaultParagraphFont"/>
    <w:link w:val="BodyText"/>
    <w:uiPriority w:val="99"/>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link w:val="NormalWebChar"/>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basedOn w:val="DefaultParagraphFont"/>
    <w:uiPriority w:val="99"/>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36C4E"/>
  </w:style>
  <w:style w:type="character" w:customStyle="1" w:styleId="NormalWebChar">
    <w:name w:val="Normal (Web) Char"/>
    <w:link w:val="NormalWeb"/>
    <w:rsid w:val="00A36C4E"/>
    <w:rPr>
      <w:rFonts w:eastAsia="Times New Roman" w:cs="Times New Roman"/>
      <w:sz w:val="24"/>
      <w:szCs w:val="24"/>
      <w:lang w:eastAsia="vi-VN"/>
    </w:rPr>
  </w:style>
  <w:style w:type="character" w:customStyle="1" w:styleId="fontstyle01">
    <w:name w:val="fontstyle01"/>
    <w:basedOn w:val="DefaultParagraphFont"/>
    <w:rsid w:val="005900C3"/>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unhideWhenUsed/>
    <w:rsid w:val="007F1332"/>
    <w:pPr>
      <w:spacing w:after="120"/>
    </w:pPr>
  </w:style>
  <w:style w:type="character" w:customStyle="1" w:styleId="BodyTextChar">
    <w:name w:val="Body Text Char"/>
    <w:basedOn w:val="DefaultParagraphFont"/>
    <w:link w:val="BodyText"/>
    <w:uiPriority w:val="99"/>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link w:val="NormalWebChar"/>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basedOn w:val="DefaultParagraphFont"/>
    <w:uiPriority w:val="99"/>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36C4E"/>
  </w:style>
  <w:style w:type="character" w:customStyle="1" w:styleId="NormalWebChar">
    <w:name w:val="Normal (Web) Char"/>
    <w:link w:val="NormalWeb"/>
    <w:rsid w:val="00A36C4E"/>
    <w:rPr>
      <w:rFonts w:eastAsia="Times New Roman" w:cs="Times New Roman"/>
      <w:sz w:val="24"/>
      <w:szCs w:val="24"/>
      <w:lang w:eastAsia="vi-VN"/>
    </w:rPr>
  </w:style>
  <w:style w:type="character" w:customStyle="1" w:styleId="fontstyle01">
    <w:name w:val="fontstyle01"/>
    <w:basedOn w:val="DefaultParagraphFont"/>
    <w:rsid w:val="005900C3"/>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AB52D-896F-4E38-8524-CD942275CD56}">
  <ds:schemaRefs>
    <ds:schemaRef ds:uri="http://schemas.openxmlformats.org/officeDocument/2006/bibliography"/>
  </ds:schemaRefs>
</ds:datastoreItem>
</file>

<file path=customXml/itemProps2.xml><?xml version="1.0" encoding="utf-8"?>
<ds:datastoreItem xmlns:ds="http://schemas.openxmlformats.org/officeDocument/2006/customXml" ds:itemID="{31361C89-F24D-4CEF-A4D7-936AF5DF3864}">
  <ds:schemaRefs>
    <ds:schemaRef ds:uri="http://schemas.openxmlformats.org/officeDocument/2006/bibliography"/>
  </ds:schemaRefs>
</ds:datastoreItem>
</file>

<file path=customXml/itemProps3.xml><?xml version="1.0" encoding="utf-8"?>
<ds:datastoreItem xmlns:ds="http://schemas.openxmlformats.org/officeDocument/2006/customXml" ds:itemID="{F77AF7F3-0EFF-4EC5-AC03-0CD29B378362}">
  <ds:schemaRefs>
    <ds:schemaRef ds:uri="http://schemas.openxmlformats.org/officeDocument/2006/bibliography"/>
  </ds:schemaRefs>
</ds:datastoreItem>
</file>

<file path=customXml/itemProps4.xml><?xml version="1.0" encoding="utf-8"?>
<ds:datastoreItem xmlns:ds="http://schemas.openxmlformats.org/officeDocument/2006/customXml" ds:itemID="{C9781018-E741-43B3-82E6-837CD0F6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1328</Words>
  <Characters>7572</Characters>
  <Application>Microsoft Office Word</Application>
  <DocSecurity>0</DocSecurity>
  <Lines>63</Lines>
  <Paragraphs>17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8</cp:revision>
  <cp:lastPrinted>2019-06-24T00:07:00Z</cp:lastPrinted>
  <dcterms:created xsi:type="dcterms:W3CDTF">2019-11-22T08:38:00Z</dcterms:created>
  <dcterms:modified xsi:type="dcterms:W3CDTF">2019-11-25T02:50:00Z</dcterms:modified>
</cp:coreProperties>
</file>