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74"/>
        <w:gridCol w:w="5899"/>
      </w:tblGrid>
      <w:tr w:rsidR="0028668C" w:rsidRPr="0028668C" w14:paraId="6363291E" w14:textId="77777777" w:rsidTr="00713A97">
        <w:tc>
          <w:tcPr>
            <w:tcW w:w="1749" w:type="pct"/>
            <w:hideMark/>
          </w:tcPr>
          <w:p w14:paraId="77BE23EC" w14:textId="4D253748" w:rsidR="00CC29ED" w:rsidRPr="0028668C" w:rsidRDefault="00CC29ED" w:rsidP="008C00D3">
            <w:pPr>
              <w:pStyle w:val="Heading1"/>
              <w:ind w:left="0" w:firstLine="0"/>
              <w:jc w:val="center"/>
              <w:rPr>
                <w:b w:val="0"/>
                <w:szCs w:val="26"/>
                <w:lang w:val="nl-NL" w:eastAsia="en-US"/>
              </w:rPr>
            </w:pPr>
            <w:r w:rsidRPr="0028668C">
              <w:rPr>
                <w:noProof/>
                <w:lang w:val="vi-VN" w:eastAsia="vi-VN"/>
              </w:rPr>
              <mc:AlternateContent>
                <mc:Choice Requires="wps">
                  <w:drawing>
                    <wp:anchor distT="0" distB="0" distL="114300" distR="114300" simplePos="0" relativeHeight="251659264" behindDoc="0" locked="0" layoutInCell="1" allowOverlap="1" wp14:anchorId="2741231B" wp14:editId="73762B20">
                      <wp:simplePos x="0" y="0"/>
                      <wp:positionH relativeFrom="column">
                        <wp:posOffset>411150</wp:posOffset>
                      </wp:positionH>
                      <wp:positionV relativeFrom="paragraph">
                        <wp:posOffset>379730</wp:posOffset>
                      </wp:positionV>
                      <wp:extent cx="1119225"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EB4B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29.9pt" to="12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"/>
                  </w:pict>
                </mc:Fallback>
              </mc:AlternateContent>
            </w:r>
            <w:r w:rsidR="0094238C" w:rsidRPr="0028668C">
              <w:rPr>
                <w:szCs w:val="26"/>
                <w:lang w:val="nl-NL" w:eastAsia="en-US"/>
              </w:rPr>
              <w:t>ỦY</w:t>
            </w:r>
            <w:r w:rsidRPr="0028668C">
              <w:rPr>
                <w:szCs w:val="26"/>
                <w:lang w:val="nl-NL" w:eastAsia="en-US"/>
              </w:rPr>
              <w:t xml:space="preserve"> BAN NHÂN DÂN TỈNH KON TUM</w:t>
            </w:r>
          </w:p>
        </w:tc>
        <w:tc>
          <w:tcPr>
            <w:tcW w:w="3251" w:type="pct"/>
            <w:hideMark/>
          </w:tcPr>
          <w:p w14:paraId="5475123D" w14:textId="77777777" w:rsidR="00CC29ED" w:rsidRPr="0028668C" w:rsidRDefault="00CC29ED" w:rsidP="008C00D3">
            <w:pPr>
              <w:pStyle w:val="Heading1"/>
              <w:ind w:left="0" w:firstLine="0"/>
              <w:jc w:val="center"/>
              <w:rPr>
                <w:szCs w:val="26"/>
                <w:lang w:val="nl-NL" w:eastAsia="en-US"/>
              </w:rPr>
            </w:pPr>
            <w:r w:rsidRPr="0028668C">
              <w:rPr>
                <w:szCs w:val="26"/>
                <w:lang w:val="nl-NL" w:eastAsia="en-US"/>
              </w:rPr>
              <w:t>CỘNG HÒA XÃ HỘI CHỦ NGHĨA VIỆT NAM</w:t>
            </w:r>
          </w:p>
          <w:p w14:paraId="2A499197" w14:textId="5F38805E" w:rsidR="00CC29ED" w:rsidRPr="0028668C" w:rsidRDefault="00CC29ED" w:rsidP="008C00D3">
            <w:pPr>
              <w:jc w:val="center"/>
              <w:rPr>
                <w:b/>
                <w:bCs/>
                <w:sz w:val="28"/>
                <w:szCs w:val="28"/>
                <w:lang w:val="nl-NL"/>
              </w:rPr>
            </w:pPr>
            <w:r w:rsidRPr="0028668C">
              <w:rPr>
                <w:b/>
                <w:bCs/>
                <w:sz w:val="28"/>
                <w:szCs w:val="28"/>
                <w:lang w:val="nl-NL"/>
              </w:rPr>
              <w:t>Độc lập - Tự do - Hạnh phúc</w:t>
            </w:r>
          </w:p>
        </w:tc>
      </w:tr>
      <w:tr w:rsidR="002271FB" w:rsidRPr="0028668C" w14:paraId="0AC6CB91" w14:textId="77777777" w:rsidTr="00713A97">
        <w:tc>
          <w:tcPr>
            <w:tcW w:w="1749" w:type="pct"/>
          </w:tcPr>
          <w:p w14:paraId="0C8005EF" w14:textId="4CC4B4A4" w:rsidR="00CC29ED" w:rsidRPr="0028668C" w:rsidRDefault="008C00D3" w:rsidP="00A15F1F">
            <w:pPr>
              <w:pStyle w:val="Heading3"/>
              <w:spacing w:before="120"/>
              <w:jc w:val="center"/>
              <w:rPr>
                <w:b w:val="0"/>
                <w:sz w:val="28"/>
                <w:szCs w:val="28"/>
                <w:lang w:val="nl-NL" w:eastAsia="en-US"/>
              </w:rPr>
            </w:pPr>
            <w:r w:rsidRPr="0028668C">
              <w:rPr>
                <w:b w:val="0"/>
                <w:sz w:val="28"/>
                <w:szCs w:val="28"/>
                <w:lang w:val="nl-NL" w:eastAsia="en-US"/>
              </w:rPr>
              <w:t xml:space="preserve">Số: </w:t>
            </w:r>
            <w:r w:rsidR="00A15F1F">
              <w:rPr>
                <w:b w:val="0"/>
                <w:sz w:val="28"/>
                <w:szCs w:val="28"/>
                <w:lang w:val="nl-NL" w:eastAsia="en-US"/>
              </w:rPr>
              <w:t>365</w:t>
            </w:r>
            <w:r w:rsidRPr="0028668C">
              <w:rPr>
                <w:b w:val="0"/>
                <w:sz w:val="28"/>
                <w:szCs w:val="28"/>
                <w:lang w:val="nl-NL" w:eastAsia="en-US"/>
              </w:rPr>
              <w:t>/BC-UBND</w:t>
            </w:r>
          </w:p>
        </w:tc>
        <w:tc>
          <w:tcPr>
            <w:tcW w:w="3251" w:type="pct"/>
          </w:tcPr>
          <w:p w14:paraId="3DE16404" w14:textId="027A0E81" w:rsidR="00CC29ED" w:rsidRPr="0028668C" w:rsidRDefault="008C00D3" w:rsidP="00A15F1F">
            <w:pPr>
              <w:pStyle w:val="Heading3"/>
              <w:spacing w:before="120"/>
              <w:jc w:val="center"/>
              <w:rPr>
                <w:i/>
                <w:iCs/>
                <w:sz w:val="28"/>
                <w:szCs w:val="28"/>
                <w:lang w:val="nl-NL" w:eastAsia="en-US"/>
              </w:rPr>
            </w:pPr>
            <w:r w:rsidRPr="0028668C">
              <w:rPr>
                <w:noProof/>
                <w:sz w:val="28"/>
                <w:szCs w:val="28"/>
                <w:lang w:val="vi-VN" w:eastAsia="vi-VN"/>
              </w:rPr>
              <mc:AlternateContent>
                <mc:Choice Requires="wps">
                  <w:drawing>
                    <wp:anchor distT="0" distB="0" distL="114300" distR="114300" simplePos="0" relativeHeight="251660288" behindDoc="0" locked="0" layoutInCell="1" allowOverlap="1" wp14:anchorId="08EC9934" wp14:editId="3D1B8D3D">
                      <wp:simplePos x="0" y="0"/>
                      <wp:positionH relativeFrom="column">
                        <wp:posOffset>732155</wp:posOffset>
                      </wp:positionH>
                      <wp:positionV relativeFrom="paragraph">
                        <wp:posOffset>7950</wp:posOffset>
                      </wp:positionV>
                      <wp:extent cx="2013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1024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65pt" to="21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"/>
                  </w:pict>
                </mc:Fallback>
              </mc:AlternateContent>
            </w:r>
            <w:r w:rsidR="00CC29ED" w:rsidRPr="0028668C">
              <w:rPr>
                <w:b w:val="0"/>
                <w:i/>
                <w:iCs/>
                <w:sz w:val="28"/>
                <w:szCs w:val="28"/>
                <w:lang w:val="nl-NL" w:eastAsia="en-US"/>
              </w:rPr>
              <w:t xml:space="preserve">Kon Tum, ngày </w:t>
            </w:r>
            <w:r w:rsidR="00A15F1F">
              <w:rPr>
                <w:b w:val="0"/>
                <w:i/>
                <w:iCs/>
                <w:sz w:val="28"/>
                <w:szCs w:val="28"/>
                <w:lang w:val="nl-NL" w:eastAsia="en-US"/>
              </w:rPr>
              <w:t>16</w:t>
            </w:r>
            <w:r w:rsidR="00CC29ED" w:rsidRPr="0028668C">
              <w:rPr>
                <w:b w:val="0"/>
                <w:i/>
                <w:iCs/>
                <w:sz w:val="28"/>
                <w:szCs w:val="28"/>
                <w:lang w:val="nl-NL" w:eastAsia="en-US"/>
              </w:rPr>
              <w:t xml:space="preserve"> tháng</w:t>
            </w:r>
            <w:r w:rsidR="00A15F1F">
              <w:rPr>
                <w:b w:val="0"/>
                <w:i/>
                <w:iCs/>
                <w:sz w:val="28"/>
                <w:szCs w:val="28"/>
                <w:lang w:val="nl-NL" w:eastAsia="en-US"/>
              </w:rPr>
              <w:t xml:space="preserve"> 11</w:t>
            </w:r>
            <w:r w:rsidR="00B97AC8" w:rsidRPr="0028668C">
              <w:rPr>
                <w:b w:val="0"/>
                <w:i/>
                <w:iCs/>
                <w:sz w:val="28"/>
                <w:szCs w:val="28"/>
                <w:lang w:val="nl-NL" w:eastAsia="en-US"/>
              </w:rPr>
              <w:t xml:space="preserve"> </w:t>
            </w:r>
            <w:r w:rsidR="00CC29ED" w:rsidRPr="0028668C">
              <w:rPr>
                <w:b w:val="0"/>
                <w:i/>
                <w:iCs/>
                <w:sz w:val="28"/>
                <w:szCs w:val="28"/>
                <w:lang w:val="nl-NL" w:eastAsia="en-US"/>
              </w:rPr>
              <w:t>năm</w:t>
            </w:r>
            <w:r w:rsidR="00A15F1F">
              <w:rPr>
                <w:b w:val="0"/>
                <w:i/>
                <w:iCs/>
                <w:sz w:val="28"/>
                <w:szCs w:val="28"/>
                <w:lang w:val="nl-NL" w:eastAsia="en-US"/>
              </w:rPr>
              <w:t xml:space="preserve"> 2021</w:t>
            </w:r>
          </w:p>
        </w:tc>
      </w:tr>
    </w:tbl>
    <w:p w14:paraId="1AE1E33C" w14:textId="5C4C924F" w:rsidR="00B35F49" w:rsidRPr="0028668C" w:rsidRDefault="00B35F49" w:rsidP="00747271">
      <w:pPr>
        <w:rPr>
          <w:b/>
          <w:sz w:val="28"/>
          <w:szCs w:val="28"/>
          <w:lang w:val="nl-NL"/>
        </w:rPr>
      </w:pPr>
    </w:p>
    <w:p w14:paraId="077C328D" w14:textId="77777777" w:rsidR="00CC29ED" w:rsidRPr="0028668C" w:rsidRDefault="00CC29ED" w:rsidP="00B35F49">
      <w:pPr>
        <w:jc w:val="center"/>
        <w:rPr>
          <w:b/>
          <w:sz w:val="28"/>
          <w:szCs w:val="28"/>
          <w:lang w:val="nl-NL"/>
        </w:rPr>
      </w:pPr>
      <w:r w:rsidRPr="0028668C">
        <w:rPr>
          <w:b/>
          <w:sz w:val="28"/>
          <w:szCs w:val="28"/>
          <w:lang w:val="nl-NL"/>
        </w:rPr>
        <w:t>BÁO CÁO</w:t>
      </w:r>
    </w:p>
    <w:p w14:paraId="73770A56" w14:textId="77777777" w:rsidR="001E5BD7" w:rsidRPr="0028668C" w:rsidRDefault="00C6636C" w:rsidP="00747271">
      <w:pPr>
        <w:jc w:val="center"/>
        <w:rPr>
          <w:b/>
          <w:sz w:val="28"/>
          <w:szCs w:val="28"/>
          <w:lang w:val="nl-NL"/>
        </w:rPr>
      </w:pPr>
      <w:r w:rsidRPr="0028668C">
        <w:rPr>
          <w:b/>
          <w:sz w:val="28"/>
          <w:szCs w:val="28"/>
          <w:lang w:val="nl-NL"/>
        </w:rPr>
        <w:t xml:space="preserve">Tình hình thực hiện kế hoạch tài chính năm 2021 và </w:t>
      </w:r>
    </w:p>
    <w:p w14:paraId="20125518" w14:textId="75345392" w:rsidR="00C6636C" w:rsidRPr="0028668C" w:rsidRDefault="00C6636C" w:rsidP="00747271">
      <w:pPr>
        <w:jc w:val="center"/>
        <w:rPr>
          <w:b/>
          <w:sz w:val="28"/>
          <w:szCs w:val="28"/>
          <w:lang w:val="nl-NL"/>
        </w:rPr>
      </w:pPr>
      <w:r w:rsidRPr="0028668C">
        <w:rPr>
          <w:b/>
          <w:sz w:val="28"/>
          <w:szCs w:val="28"/>
          <w:lang w:val="nl-NL"/>
        </w:rPr>
        <w:t>kế hoạch tài chính năm 2022 các quỹ ngoài ngân sách địa phương</w:t>
      </w:r>
    </w:p>
    <w:p w14:paraId="777C23F5" w14:textId="2918783C" w:rsidR="00CC29ED" w:rsidRPr="0028668C" w:rsidRDefault="00747271" w:rsidP="00CC29ED">
      <w:pPr>
        <w:spacing w:before="120"/>
        <w:ind w:firstLine="720"/>
        <w:jc w:val="both"/>
        <w:rPr>
          <w:sz w:val="20"/>
          <w:szCs w:val="28"/>
          <w:lang w:val="nl-NL"/>
        </w:rPr>
      </w:pPr>
      <w:r w:rsidRPr="0028668C">
        <w:rPr>
          <w:noProof/>
          <w:sz w:val="20"/>
          <w:szCs w:val="28"/>
          <w:lang w:val="vi-VN" w:eastAsia="vi-VN"/>
        </w:rPr>
        <mc:AlternateContent>
          <mc:Choice Requires="wps">
            <w:drawing>
              <wp:anchor distT="0" distB="0" distL="114300" distR="114300" simplePos="0" relativeHeight="251661312" behindDoc="0" locked="0" layoutInCell="1" allowOverlap="1" wp14:anchorId="2AC94E25" wp14:editId="70A05373">
                <wp:simplePos x="0" y="0"/>
                <wp:positionH relativeFrom="column">
                  <wp:posOffset>2436022</wp:posOffset>
                </wp:positionH>
                <wp:positionV relativeFrom="paragraph">
                  <wp:posOffset>62230</wp:posOffset>
                </wp:positionV>
                <wp:extent cx="786810"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78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7385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8pt,4.9pt" to="2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" strokecolor="black [3200]" strokeweight=".5pt">
                <v:stroke joinstyle="miter"/>
              </v:line>
            </w:pict>
          </mc:Fallback>
        </mc:AlternateContent>
      </w:r>
    </w:p>
    <w:p w14:paraId="707C6F1A" w14:textId="77777777" w:rsidR="00CC29ED" w:rsidRPr="00A15F1F" w:rsidRDefault="00CC29ED" w:rsidP="00713A97">
      <w:pPr>
        <w:spacing w:before="60"/>
        <w:ind w:firstLine="567"/>
        <w:jc w:val="both"/>
        <w:rPr>
          <w:sz w:val="28"/>
          <w:szCs w:val="28"/>
          <w:lang w:val="nl-NL"/>
        </w:rPr>
      </w:pPr>
      <w:r w:rsidRPr="00A15F1F">
        <w:rPr>
          <w:sz w:val="28"/>
          <w:szCs w:val="28"/>
          <w:lang w:val="nl-NL"/>
        </w:rPr>
        <w:t>Căn cứ Luật Ngân sách nhà nước năm 2015;</w:t>
      </w:r>
    </w:p>
    <w:p w14:paraId="70BF3772" w14:textId="217FF46F" w:rsidR="00CC29ED" w:rsidRPr="0028668C" w:rsidRDefault="00CC29ED" w:rsidP="00713A97">
      <w:pPr>
        <w:spacing w:before="60"/>
        <w:ind w:firstLine="567"/>
        <w:jc w:val="both"/>
        <w:rPr>
          <w:sz w:val="28"/>
          <w:szCs w:val="28"/>
          <w:lang w:val="nl-NL"/>
        </w:rPr>
      </w:pPr>
      <w:r w:rsidRPr="0028668C">
        <w:rPr>
          <w:sz w:val="28"/>
          <w:szCs w:val="28"/>
          <w:lang w:val="nl-NL"/>
        </w:rPr>
        <w:t>Căn cứ Nghị định số 163/2016/NĐ-CP ngày 21 tháng 12 năm 2016 của Chính phủ Quy định chi tiết thi hành một số đ</w:t>
      </w:r>
      <w:r w:rsidR="001E5BD7" w:rsidRPr="0028668C">
        <w:rPr>
          <w:sz w:val="28"/>
          <w:szCs w:val="28"/>
          <w:lang w:val="nl-NL"/>
        </w:rPr>
        <w:t>iều của Luật Ngân sách nhà nước;</w:t>
      </w:r>
    </w:p>
    <w:p w14:paraId="72BF0C1E" w14:textId="349CE5F9" w:rsidR="00CC29ED" w:rsidRPr="0028668C" w:rsidRDefault="00CC29ED" w:rsidP="00713A97">
      <w:pPr>
        <w:spacing w:before="60"/>
        <w:ind w:firstLine="567"/>
        <w:jc w:val="both"/>
        <w:rPr>
          <w:sz w:val="28"/>
          <w:szCs w:val="28"/>
          <w:lang w:val="vi-VN"/>
        </w:rPr>
      </w:pPr>
      <w:r w:rsidRPr="0028668C">
        <w:rPr>
          <w:sz w:val="28"/>
          <w:szCs w:val="28"/>
          <w:lang w:val="nl-NL"/>
        </w:rPr>
        <w:t>Ủy ban nhân dân tỉnh báo cáo tình hình thực</w:t>
      </w:r>
      <w:r w:rsidR="00581FC3" w:rsidRPr="0028668C">
        <w:rPr>
          <w:sz w:val="28"/>
          <w:szCs w:val="28"/>
          <w:lang w:val="nl-NL"/>
        </w:rPr>
        <w:t xml:space="preserve"> hiện kế hoạch tài chính năm 202</w:t>
      </w:r>
      <w:r w:rsidR="00BA5254" w:rsidRPr="0028668C">
        <w:rPr>
          <w:sz w:val="28"/>
          <w:szCs w:val="28"/>
          <w:lang w:val="nl-NL"/>
        </w:rPr>
        <w:t>1</w:t>
      </w:r>
      <w:r w:rsidR="00581FC3" w:rsidRPr="0028668C">
        <w:rPr>
          <w:sz w:val="28"/>
          <w:szCs w:val="28"/>
          <w:lang w:val="nl-NL"/>
        </w:rPr>
        <w:t xml:space="preserve"> và kế hoạch tài chính năm 202</w:t>
      </w:r>
      <w:r w:rsidR="00BA5254" w:rsidRPr="0028668C">
        <w:rPr>
          <w:sz w:val="28"/>
          <w:szCs w:val="28"/>
          <w:lang w:val="nl-NL"/>
        </w:rPr>
        <w:t>2</w:t>
      </w:r>
      <w:r w:rsidRPr="0028668C">
        <w:rPr>
          <w:sz w:val="28"/>
          <w:szCs w:val="28"/>
          <w:lang w:val="nl-NL"/>
        </w:rPr>
        <w:t xml:space="preserve"> các Quỹ tài chính nhà nước ngoài ngân sách </w:t>
      </w:r>
      <w:r w:rsidRPr="0028668C">
        <w:rPr>
          <w:i/>
          <w:sz w:val="28"/>
          <w:szCs w:val="28"/>
          <w:lang w:val="nl-NL"/>
        </w:rPr>
        <w:t>(gọi tắt là Quỹ tài chính nhà nước)</w:t>
      </w:r>
      <w:r w:rsidRPr="0028668C">
        <w:rPr>
          <w:sz w:val="28"/>
          <w:szCs w:val="28"/>
          <w:lang w:val="nl-NL"/>
        </w:rPr>
        <w:t xml:space="preserve"> trên địa bàn tỉnh, cụ thể </w:t>
      </w:r>
      <w:r w:rsidRPr="0028668C">
        <w:rPr>
          <w:sz w:val="28"/>
          <w:szCs w:val="28"/>
          <w:lang w:val="vi-VN"/>
        </w:rPr>
        <w:t>như sau:</w:t>
      </w:r>
    </w:p>
    <w:p w14:paraId="2640D6E8" w14:textId="0F76CD7B" w:rsidR="00CC29ED" w:rsidRPr="0028668C" w:rsidRDefault="00CC29ED" w:rsidP="00713A97">
      <w:pPr>
        <w:spacing w:before="60"/>
        <w:ind w:firstLine="567"/>
        <w:jc w:val="both"/>
        <w:rPr>
          <w:b/>
          <w:sz w:val="28"/>
          <w:szCs w:val="28"/>
          <w:lang w:val="vi-VN"/>
        </w:rPr>
      </w:pPr>
      <w:r w:rsidRPr="0028668C">
        <w:rPr>
          <w:b/>
          <w:sz w:val="28"/>
          <w:szCs w:val="28"/>
          <w:lang w:val="vi-VN"/>
        </w:rPr>
        <w:t>I. TÌNH HÌNH THỰC HIỆN KẾ HOẠCH TÀI CHÍNH NĂM 20</w:t>
      </w:r>
      <w:r w:rsidRPr="00A15F1F">
        <w:rPr>
          <w:b/>
          <w:sz w:val="28"/>
          <w:szCs w:val="28"/>
          <w:lang w:val="vi-VN"/>
        </w:rPr>
        <w:t>2</w:t>
      </w:r>
      <w:r w:rsidR="00BA5254" w:rsidRPr="00A15F1F">
        <w:rPr>
          <w:b/>
          <w:sz w:val="28"/>
          <w:szCs w:val="28"/>
          <w:lang w:val="vi-VN"/>
        </w:rPr>
        <w:t>1</w:t>
      </w:r>
      <w:r w:rsidRPr="0028668C">
        <w:rPr>
          <w:b/>
          <w:sz w:val="28"/>
          <w:szCs w:val="28"/>
          <w:lang w:val="vi-VN"/>
        </w:rPr>
        <w:t xml:space="preserve"> </w:t>
      </w:r>
    </w:p>
    <w:p w14:paraId="20814D70" w14:textId="3BC0BF9B" w:rsidR="00CC29ED" w:rsidRPr="00A15F1F" w:rsidRDefault="00CC29ED" w:rsidP="00713A97">
      <w:pPr>
        <w:spacing w:before="60"/>
        <w:ind w:firstLine="567"/>
        <w:jc w:val="both"/>
        <w:rPr>
          <w:b/>
          <w:sz w:val="28"/>
          <w:szCs w:val="28"/>
          <w:lang w:val="vi-VN"/>
        </w:rPr>
      </w:pPr>
      <w:r w:rsidRPr="0028668C">
        <w:rPr>
          <w:b/>
          <w:sz w:val="28"/>
          <w:szCs w:val="28"/>
          <w:lang w:val="vi-VN"/>
        </w:rPr>
        <w:t>1. Tổng quan về các Quỹ tài chính nhà nước</w:t>
      </w:r>
    </w:p>
    <w:p w14:paraId="1B847C49" w14:textId="6427A1DF" w:rsidR="00CC29ED" w:rsidRPr="0028668C" w:rsidRDefault="00CC29ED" w:rsidP="00713A97">
      <w:pPr>
        <w:spacing w:before="60"/>
        <w:ind w:firstLine="567"/>
        <w:jc w:val="both"/>
        <w:rPr>
          <w:i/>
          <w:spacing w:val="-2"/>
          <w:sz w:val="28"/>
          <w:szCs w:val="28"/>
          <w:lang w:val="vi-VN"/>
        </w:rPr>
      </w:pPr>
      <w:r w:rsidRPr="0028668C">
        <w:rPr>
          <w:spacing w:val="-2"/>
          <w:sz w:val="28"/>
          <w:szCs w:val="28"/>
          <w:lang w:val="es-ES_tradnl"/>
        </w:rPr>
        <w:t xml:space="preserve">Hiện nay, trên địa bàn tỉnh có 17 Quỹ tài chính </w:t>
      </w:r>
      <w:r w:rsidRPr="0028668C">
        <w:rPr>
          <w:spacing w:val="-2"/>
          <w:sz w:val="28"/>
          <w:szCs w:val="28"/>
          <w:lang w:val="vi-VN"/>
        </w:rPr>
        <w:t>nhà nước được cấp có thẩm quyền quyết định thành lập</w:t>
      </w:r>
      <w:r w:rsidRPr="0028668C">
        <w:rPr>
          <w:spacing w:val="-2"/>
          <w:sz w:val="28"/>
          <w:szCs w:val="28"/>
          <w:lang w:val="es-ES_tradnl"/>
        </w:rPr>
        <w:t xml:space="preserve"> </w:t>
      </w:r>
      <w:r w:rsidRPr="0028668C">
        <w:rPr>
          <w:i/>
          <w:spacing w:val="-2"/>
          <w:sz w:val="28"/>
          <w:szCs w:val="28"/>
          <w:lang w:val="es-ES_tradnl"/>
        </w:rPr>
        <w:t>(</w:t>
      </w:r>
      <w:r w:rsidR="00BD70F7" w:rsidRPr="0028668C">
        <w:rPr>
          <w:i/>
          <w:spacing w:val="-2"/>
          <w:sz w:val="28"/>
          <w:szCs w:val="28"/>
          <w:lang w:val="es-ES_tradnl"/>
        </w:rPr>
        <w:t>k</w:t>
      </w:r>
      <w:r w:rsidR="00BA5254" w:rsidRPr="0028668C">
        <w:rPr>
          <w:i/>
          <w:spacing w:val="-2"/>
          <w:sz w:val="28"/>
          <w:szCs w:val="28"/>
          <w:lang w:val="es-ES_tradnl"/>
        </w:rPr>
        <w:t>hông thay đổi so với năm 2020</w:t>
      </w:r>
      <w:r w:rsidRPr="0028668C">
        <w:rPr>
          <w:i/>
          <w:spacing w:val="-2"/>
          <w:sz w:val="28"/>
          <w:szCs w:val="28"/>
          <w:lang w:val="es-ES_tradnl"/>
        </w:rPr>
        <w:t>)</w:t>
      </w:r>
      <w:r w:rsidRPr="0028668C">
        <w:rPr>
          <w:spacing w:val="-2"/>
          <w:sz w:val="28"/>
          <w:szCs w:val="28"/>
          <w:lang w:val="vi-VN"/>
        </w:rPr>
        <w:t xml:space="preserve">. </w:t>
      </w:r>
      <w:r w:rsidRPr="0028668C">
        <w:rPr>
          <w:spacing w:val="-2"/>
          <w:sz w:val="28"/>
          <w:szCs w:val="28"/>
          <w:shd w:val="clear" w:color="auto" w:fill="FFFFFF"/>
          <w:lang w:val="vi-VN"/>
        </w:rPr>
        <w:t xml:space="preserve">Các Quỹ tài chính nhà nước được thành lập với quy mô, tính chất và phạm vi hoạt động trên địa bàn tỉnh phù hợp theo các quy định hiện hành và tình hình thực tế tại địa phương, đảm bảo tuân thủ các quy định của pháp luật về mục tiêu, phạm vi và các lĩnh vực hoạt động; </w:t>
      </w:r>
      <w:r w:rsidRPr="00A15F1F">
        <w:rPr>
          <w:spacing w:val="-2"/>
          <w:sz w:val="28"/>
          <w:szCs w:val="28"/>
          <w:shd w:val="clear" w:color="auto" w:fill="FFFFFF"/>
          <w:lang w:val="vi-VN"/>
        </w:rPr>
        <w:t xml:space="preserve">cơ bản </w:t>
      </w:r>
      <w:r w:rsidRPr="0028668C">
        <w:rPr>
          <w:spacing w:val="-2"/>
          <w:sz w:val="28"/>
          <w:szCs w:val="28"/>
          <w:shd w:val="clear" w:color="auto" w:fill="FFFFFF"/>
          <w:lang w:val="vi-VN"/>
        </w:rPr>
        <w:t>bảo tồn nguồn vốn do ngân sách nhà nước (NSNN) cấp, có nguồn thu từ hoạt động của Quỹ để bổ sung và phát triển nguồn vốn Quỹ. Đồng thời, là kênh tài chính, tín dụng hỗ trợ thêm nguồn vốn thực hiện các mục tiêu phát triển kinh tế- xã hội, giảm nghèo, hỗ trợ an sinh xã hội trên địa bàn tỉnh</w:t>
      </w:r>
      <w:r w:rsidRPr="00A15F1F">
        <w:rPr>
          <w:spacing w:val="-2"/>
          <w:sz w:val="28"/>
          <w:szCs w:val="28"/>
          <w:shd w:val="clear" w:color="auto" w:fill="FFFFFF"/>
          <w:vertAlign w:val="superscript"/>
          <w:lang w:val="vi-VN"/>
        </w:rPr>
        <w:t>(</w:t>
      </w:r>
      <w:r w:rsidRPr="0028668C">
        <w:rPr>
          <w:rStyle w:val="FootnoteReference"/>
          <w:spacing w:val="-2"/>
          <w:sz w:val="28"/>
          <w:szCs w:val="28"/>
          <w:shd w:val="clear" w:color="auto" w:fill="FFFFFF"/>
          <w:lang w:val="vi-VN"/>
        </w:rPr>
        <w:footnoteReference w:id="1"/>
      </w:r>
      <w:r w:rsidRPr="00A15F1F">
        <w:rPr>
          <w:spacing w:val="-2"/>
          <w:sz w:val="28"/>
          <w:szCs w:val="28"/>
          <w:shd w:val="clear" w:color="auto" w:fill="FFFFFF"/>
          <w:vertAlign w:val="superscript"/>
          <w:lang w:val="vi-VN"/>
        </w:rPr>
        <w:t>)</w:t>
      </w:r>
      <w:r w:rsidRPr="0028668C">
        <w:rPr>
          <w:spacing w:val="-2"/>
          <w:sz w:val="28"/>
          <w:szCs w:val="28"/>
          <w:lang w:val="es-ES_tradnl"/>
        </w:rPr>
        <w:t>.</w:t>
      </w:r>
    </w:p>
    <w:p w14:paraId="44A0B1A5" w14:textId="3DE361DF" w:rsidR="00CC29ED" w:rsidRPr="0028668C" w:rsidRDefault="00CC29ED" w:rsidP="00713A97">
      <w:pPr>
        <w:spacing w:before="60"/>
        <w:ind w:firstLine="567"/>
        <w:jc w:val="both"/>
        <w:rPr>
          <w:b/>
          <w:sz w:val="28"/>
          <w:szCs w:val="28"/>
          <w:lang w:val="vi-VN"/>
        </w:rPr>
      </w:pPr>
      <w:r w:rsidRPr="0028668C">
        <w:rPr>
          <w:b/>
          <w:sz w:val="28"/>
          <w:szCs w:val="28"/>
          <w:lang w:val="es-ES_tradnl"/>
        </w:rPr>
        <w:t>2. Nguồn vốn và tình hình sử dụng các Quỹ tài chính nhà nước</w:t>
      </w:r>
    </w:p>
    <w:p w14:paraId="63CBD876" w14:textId="77777777" w:rsidR="00CC29ED" w:rsidRPr="0028668C" w:rsidRDefault="00CC29ED" w:rsidP="00713A97">
      <w:pPr>
        <w:spacing w:before="60"/>
        <w:ind w:firstLine="567"/>
        <w:jc w:val="both"/>
        <w:rPr>
          <w:iCs/>
          <w:sz w:val="28"/>
          <w:szCs w:val="28"/>
          <w:lang w:val="vi-VN"/>
        </w:rPr>
      </w:pPr>
      <w:r w:rsidRPr="0028668C">
        <w:rPr>
          <w:iCs/>
          <w:sz w:val="28"/>
          <w:szCs w:val="28"/>
          <w:lang w:val="vi-VN"/>
        </w:rPr>
        <w:t>a) Nguồn vốn</w:t>
      </w:r>
      <w:r w:rsidRPr="0028668C">
        <w:rPr>
          <w:iCs/>
          <w:sz w:val="28"/>
          <w:szCs w:val="28"/>
          <w:lang w:val="es-ES_tradnl"/>
        </w:rPr>
        <w:t xml:space="preserve"> hoạt động</w:t>
      </w:r>
      <w:r w:rsidRPr="0028668C">
        <w:rPr>
          <w:iCs/>
          <w:sz w:val="28"/>
          <w:szCs w:val="28"/>
          <w:lang w:val="vi-VN"/>
        </w:rPr>
        <w:t xml:space="preserve"> của </w:t>
      </w:r>
      <w:r w:rsidRPr="0028668C">
        <w:rPr>
          <w:sz w:val="28"/>
          <w:szCs w:val="28"/>
          <w:lang w:val="vi-VN"/>
        </w:rPr>
        <w:t>các Quỹ tài chính nhà nước, bao gồm</w:t>
      </w:r>
      <w:r w:rsidRPr="0028668C">
        <w:rPr>
          <w:iCs/>
          <w:sz w:val="28"/>
          <w:szCs w:val="28"/>
          <w:lang w:val="vi-VN"/>
        </w:rPr>
        <w:t xml:space="preserve">: </w:t>
      </w:r>
    </w:p>
    <w:p w14:paraId="1E3C18B0" w14:textId="77777777" w:rsidR="00CC29ED" w:rsidRPr="0028668C" w:rsidRDefault="00CC29ED" w:rsidP="00713A97">
      <w:pPr>
        <w:spacing w:before="60"/>
        <w:ind w:firstLine="567"/>
        <w:jc w:val="both"/>
        <w:rPr>
          <w:sz w:val="28"/>
          <w:szCs w:val="28"/>
          <w:lang w:val="es-ES_tradnl"/>
        </w:rPr>
      </w:pPr>
      <w:r w:rsidRPr="0028668C">
        <w:rPr>
          <w:iCs/>
          <w:sz w:val="28"/>
          <w:szCs w:val="28"/>
          <w:lang w:val="vi-VN"/>
        </w:rPr>
        <w:t xml:space="preserve">- Nguồn vốn NSNN hỗ trợ theo quy định, gồm: vốn điều lệ, </w:t>
      </w:r>
      <w:r w:rsidRPr="0028668C">
        <w:rPr>
          <w:sz w:val="28"/>
          <w:szCs w:val="28"/>
          <w:lang w:val="es-ES_tradnl"/>
        </w:rPr>
        <w:t>hỗ trợ khác để thực hiện nhiệm vụ được cấp thẩm quyền giao, trong đó có một số Quỹ không được NSNN hỗ trợ vốn ban đầu để hoạt động (</w:t>
      </w:r>
      <w:r w:rsidRPr="0028668C">
        <w:rPr>
          <w:i/>
          <w:sz w:val="28"/>
          <w:szCs w:val="28"/>
          <w:lang w:val="es-ES_tradnl"/>
        </w:rPr>
        <w:t>tự huy động, đảm bảo cân đối thu, chi tài chính hoạt động Quỹ và thực hiện một số nhiệm vụ chi từ NSNN phục vụ an sinh xã hội theo nhiệm vụ được cấp thẩm quyền giao</w:t>
      </w:r>
      <w:r w:rsidRPr="0028668C">
        <w:rPr>
          <w:sz w:val="28"/>
          <w:szCs w:val="28"/>
          <w:lang w:val="es-ES_tradnl"/>
        </w:rPr>
        <w:t>)</w:t>
      </w:r>
      <w:r w:rsidRPr="0028668C">
        <w:rPr>
          <w:sz w:val="28"/>
          <w:szCs w:val="28"/>
          <w:vertAlign w:val="superscript"/>
          <w:lang w:val="es-ES_tradnl"/>
        </w:rPr>
        <w:t>(</w:t>
      </w:r>
      <w:r w:rsidRPr="0028668C">
        <w:rPr>
          <w:rStyle w:val="FootnoteReference"/>
          <w:sz w:val="28"/>
          <w:szCs w:val="28"/>
        </w:rPr>
        <w:footnoteReference w:id="2"/>
      </w:r>
      <w:r w:rsidRPr="0028668C">
        <w:rPr>
          <w:sz w:val="28"/>
          <w:szCs w:val="28"/>
          <w:vertAlign w:val="superscript"/>
          <w:lang w:val="es-ES_tradnl"/>
        </w:rPr>
        <w:t>)</w:t>
      </w:r>
      <w:r w:rsidRPr="0028668C">
        <w:rPr>
          <w:sz w:val="28"/>
          <w:szCs w:val="28"/>
          <w:lang w:val="es-ES_tradnl"/>
        </w:rPr>
        <w:t xml:space="preserve">; một số Quỹ được NSNN hỗ trợ vốn thành lập ban đầu </w:t>
      </w:r>
      <w:r w:rsidRPr="0028668C">
        <w:rPr>
          <w:i/>
          <w:sz w:val="28"/>
          <w:szCs w:val="28"/>
          <w:lang w:val="es-ES_tradnl"/>
        </w:rPr>
        <w:t>(vốn điều lệ)</w:t>
      </w:r>
      <w:r w:rsidRPr="0028668C">
        <w:rPr>
          <w:i/>
          <w:sz w:val="28"/>
          <w:szCs w:val="28"/>
          <w:vertAlign w:val="superscript"/>
          <w:lang w:val="es-ES_tradnl"/>
        </w:rPr>
        <w:t>(</w:t>
      </w:r>
      <w:r w:rsidRPr="0028668C">
        <w:rPr>
          <w:rStyle w:val="FootnoteReference"/>
          <w:sz w:val="28"/>
          <w:szCs w:val="28"/>
        </w:rPr>
        <w:footnoteReference w:id="3"/>
      </w:r>
      <w:r w:rsidRPr="0028668C">
        <w:rPr>
          <w:i/>
          <w:sz w:val="28"/>
          <w:szCs w:val="28"/>
          <w:vertAlign w:val="superscript"/>
          <w:lang w:val="es-ES_tradnl"/>
        </w:rPr>
        <w:t>)</w:t>
      </w:r>
      <w:r w:rsidRPr="0028668C">
        <w:rPr>
          <w:sz w:val="28"/>
          <w:szCs w:val="28"/>
          <w:lang w:val="es-ES_tradnl"/>
        </w:rPr>
        <w:t>.</w:t>
      </w:r>
    </w:p>
    <w:p w14:paraId="028BC80C" w14:textId="77777777" w:rsidR="00CC29ED" w:rsidRPr="0028668C" w:rsidRDefault="00CC29ED" w:rsidP="00713A97">
      <w:pPr>
        <w:spacing w:before="60"/>
        <w:ind w:firstLine="567"/>
        <w:jc w:val="both"/>
        <w:rPr>
          <w:iCs/>
          <w:sz w:val="28"/>
          <w:szCs w:val="28"/>
          <w:lang w:val="vi-VN"/>
        </w:rPr>
      </w:pPr>
      <w:r w:rsidRPr="0028668C">
        <w:rPr>
          <w:iCs/>
          <w:sz w:val="28"/>
          <w:szCs w:val="28"/>
          <w:lang w:val="es-ES_tradnl"/>
        </w:rPr>
        <w:t>-</w:t>
      </w:r>
      <w:r w:rsidRPr="0028668C">
        <w:rPr>
          <w:iCs/>
          <w:sz w:val="28"/>
          <w:szCs w:val="28"/>
          <w:lang w:val="vi-VN"/>
        </w:rPr>
        <w:t xml:space="preserve"> Nguồn vốn từ kết quả hoạt động </w:t>
      </w:r>
      <w:r w:rsidRPr="0028668C">
        <w:rPr>
          <w:iCs/>
          <w:sz w:val="28"/>
          <w:szCs w:val="28"/>
          <w:lang w:val="es-ES_tradnl"/>
        </w:rPr>
        <w:t xml:space="preserve">tài chính </w:t>
      </w:r>
      <w:r w:rsidRPr="0028668C">
        <w:rPr>
          <w:iCs/>
          <w:sz w:val="28"/>
          <w:szCs w:val="28"/>
          <w:lang w:val="vi-VN"/>
        </w:rPr>
        <w:t>của Quỹ, thu huy động, đóng góp, tài trợ</w:t>
      </w:r>
      <w:r w:rsidRPr="0028668C">
        <w:rPr>
          <w:iCs/>
          <w:sz w:val="28"/>
          <w:szCs w:val="28"/>
          <w:lang w:val="es-ES_tradnl"/>
        </w:rPr>
        <w:t xml:space="preserve"> và</w:t>
      </w:r>
      <w:r w:rsidRPr="0028668C">
        <w:rPr>
          <w:iCs/>
          <w:sz w:val="28"/>
          <w:szCs w:val="28"/>
          <w:lang w:val="vi-VN"/>
        </w:rPr>
        <w:t xml:space="preserve"> các nguồn thu hợp pháp khác theo quy định của pháp luật.</w:t>
      </w:r>
    </w:p>
    <w:p w14:paraId="47861900" w14:textId="6E0D7F40" w:rsidR="00CC29ED" w:rsidRPr="00A15F1F" w:rsidRDefault="00CC29ED" w:rsidP="00713A97">
      <w:pPr>
        <w:pStyle w:val="BodyText"/>
        <w:spacing w:before="60"/>
        <w:ind w:firstLine="567"/>
        <w:rPr>
          <w:b w:val="0"/>
          <w:sz w:val="28"/>
          <w:szCs w:val="28"/>
          <w:lang w:val="vi-VN"/>
        </w:rPr>
      </w:pPr>
      <w:r w:rsidRPr="0028668C">
        <w:rPr>
          <w:b w:val="0"/>
          <w:sz w:val="28"/>
          <w:szCs w:val="28"/>
          <w:lang w:val="es-ES_tradnl"/>
        </w:rPr>
        <w:t xml:space="preserve">b) </w:t>
      </w:r>
      <w:r w:rsidRPr="0028668C">
        <w:rPr>
          <w:b w:val="0"/>
          <w:sz w:val="28"/>
          <w:szCs w:val="28"/>
          <w:lang w:val="vi-VN"/>
        </w:rPr>
        <w:t>Tình hình hoạt động của các Quỹ tài chính nhà nước trong năm 20</w:t>
      </w:r>
      <w:r w:rsidRPr="00A15F1F">
        <w:rPr>
          <w:b w:val="0"/>
          <w:sz w:val="28"/>
          <w:szCs w:val="28"/>
          <w:lang w:val="vi-VN"/>
        </w:rPr>
        <w:t>2</w:t>
      </w:r>
      <w:r w:rsidR="00BA5254" w:rsidRPr="00A15F1F">
        <w:rPr>
          <w:b w:val="0"/>
          <w:sz w:val="28"/>
          <w:szCs w:val="28"/>
          <w:lang w:val="vi-VN"/>
        </w:rPr>
        <w:t>1</w:t>
      </w:r>
      <w:r w:rsidRPr="00A15F1F">
        <w:rPr>
          <w:b w:val="0"/>
          <w:sz w:val="28"/>
          <w:szCs w:val="28"/>
          <w:lang w:val="vi-VN"/>
        </w:rPr>
        <w:t>:</w:t>
      </w:r>
    </w:p>
    <w:p w14:paraId="7E79E805" w14:textId="795A2B10" w:rsidR="00CC29ED" w:rsidRPr="00A15F1F" w:rsidRDefault="00CC29ED" w:rsidP="00713A97">
      <w:pPr>
        <w:pStyle w:val="BodyText"/>
        <w:spacing w:before="60"/>
        <w:ind w:firstLine="567"/>
        <w:rPr>
          <w:b w:val="0"/>
          <w:sz w:val="28"/>
          <w:szCs w:val="28"/>
          <w:lang w:val="vi-VN"/>
        </w:rPr>
      </w:pPr>
      <w:r w:rsidRPr="00A15F1F">
        <w:rPr>
          <w:b w:val="0"/>
          <w:sz w:val="28"/>
          <w:szCs w:val="28"/>
          <w:lang w:val="vi-VN"/>
        </w:rPr>
        <w:t>- L</w:t>
      </w:r>
      <w:r w:rsidRPr="0028668C">
        <w:rPr>
          <w:b w:val="0"/>
          <w:sz w:val="28"/>
          <w:szCs w:val="28"/>
        </w:rPr>
        <w:t xml:space="preserve">ũy kế nguồn tài chính của các </w:t>
      </w:r>
      <w:r w:rsidRPr="00A15F1F">
        <w:rPr>
          <w:b w:val="0"/>
          <w:sz w:val="28"/>
          <w:szCs w:val="28"/>
          <w:lang w:val="vi-VN"/>
        </w:rPr>
        <w:t>Quỹ</w:t>
      </w:r>
      <w:r w:rsidRPr="0028668C">
        <w:rPr>
          <w:b w:val="0"/>
          <w:sz w:val="28"/>
          <w:szCs w:val="28"/>
        </w:rPr>
        <w:t xml:space="preserve"> tài chính nhà nước đến hết ngày 31</w:t>
      </w:r>
      <w:r w:rsidRPr="00A15F1F">
        <w:rPr>
          <w:b w:val="0"/>
          <w:sz w:val="28"/>
          <w:szCs w:val="28"/>
          <w:lang w:val="vi-VN"/>
        </w:rPr>
        <w:t xml:space="preserve"> tháng </w:t>
      </w:r>
      <w:r w:rsidRPr="0028668C">
        <w:rPr>
          <w:b w:val="0"/>
          <w:sz w:val="28"/>
          <w:szCs w:val="28"/>
        </w:rPr>
        <w:t>12</w:t>
      </w:r>
      <w:r w:rsidRPr="00A15F1F">
        <w:rPr>
          <w:b w:val="0"/>
          <w:sz w:val="28"/>
          <w:szCs w:val="28"/>
          <w:lang w:val="vi-VN"/>
        </w:rPr>
        <w:t xml:space="preserve"> năm </w:t>
      </w:r>
      <w:r w:rsidRPr="0028668C">
        <w:rPr>
          <w:b w:val="0"/>
          <w:sz w:val="28"/>
          <w:szCs w:val="28"/>
        </w:rPr>
        <w:t>20</w:t>
      </w:r>
      <w:r w:rsidR="003464A2" w:rsidRPr="00A15F1F">
        <w:rPr>
          <w:b w:val="0"/>
          <w:sz w:val="28"/>
          <w:szCs w:val="28"/>
          <w:lang w:val="vi-VN"/>
        </w:rPr>
        <w:t>20</w:t>
      </w:r>
      <w:r w:rsidRPr="0028668C">
        <w:rPr>
          <w:b w:val="0"/>
          <w:sz w:val="28"/>
          <w:szCs w:val="28"/>
        </w:rPr>
        <w:t xml:space="preserve"> là</w:t>
      </w:r>
      <w:r w:rsidR="006A6C36" w:rsidRPr="00A15F1F">
        <w:rPr>
          <w:b w:val="0"/>
          <w:sz w:val="28"/>
          <w:szCs w:val="28"/>
          <w:lang w:val="vi-VN"/>
        </w:rPr>
        <w:t xml:space="preserve"> 688.487 </w:t>
      </w:r>
      <w:r w:rsidRPr="0028668C">
        <w:rPr>
          <w:b w:val="0"/>
          <w:sz w:val="28"/>
          <w:szCs w:val="28"/>
        </w:rPr>
        <w:t xml:space="preserve">triệu đồng </w:t>
      </w:r>
      <w:r w:rsidRPr="0028668C">
        <w:rPr>
          <w:b w:val="0"/>
          <w:i/>
          <w:sz w:val="28"/>
          <w:szCs w:val="28"/>
        </w:rPr>
        <w:t xml:space="preserve">(cấp tỉnh quản lý </w:t>
      </w:r>
      <w:r w:rsidR="006A6C36" w:rsidRPr="00A15F1F">
        <w:rPr>
          <w:b w:val="0"/>
          <w:i/>
          <w:sz w:val="28"/>
          <w:szCs w:val="28"/>
          <w:lang w:val="vi-VN"/>
        </w:rPr>
        <w:t>668.546</w:t>
      </w:r>
      <w:r w:rsidRPr="00A15F1F">
        <w:rPr>
          <w:b w:val="0"/>
          <w:i/>
          <w:sz w:val="28"/>
          <w:szCs w:val="28"/>
          <w:lang w:val="vi-VN"/>
        </w:rPr>
        <w:t xml:space="preserve"> </w:t>
      </w:r>
      <w:r w:rsidRPr="0028668C">
        <w:rPr>
          <w:b w:val="0"/>
          <w:i/>
          <w:sz w:val="28"/>
          <w:szCs w:val="28"/>
        </w:rPr>
        <w:t xml:space="preserve">triệu đồng; cấp huyện quản lý </w:t>
      </w:r>
      <w:r w:rsidR="006A6C36" w:rsidRPr="00A15F1F">
        <w:rPr>
          <w:b w:val="0"/>
          <w:i/>
          <w:sz w:val="28"/>
          <w:szCs w:val="28"/>
          <w:lang w:val="vi-VN"/>
        </w:rPr>
        <w:t>19.941</w:t>
      </w:r>
      <w:r w:rsidRPr="0028668C">
        <w:rPr>
          <w:b w:val="0"/>
          <w:i/>
          <w:sz w:val="28"/>
          <w:szCs w:val="28"/>
        </w:rPr>
        <w:t xml:space="preserve"> triệu đồng)</w:t>
      </w:r>
      <w:r w:rsidRPr="0028668C">
        <w:rPr>
          <w:b w:val="0"/>
          <w:sz w:val="28"/>
          <w:szCs w:val="28"/>
        </w:rPr>
        <w:t xml:space="preserve">. </w:t>
      </w:r>
    </w:p>
    <w:p w14:paraId="3482AF32" w14:textId="127500D7" w:rsidR="001E5BD7" w:rsidRPr="00A15F1F" w:rsidRDefault="00CC29ED" w:rsidP="00713A97">
      <w:pPr>
        <w:pStyle w:val="BodyText"/>
        <w:spacing w:before="60"/>
        <w:ind w:firstLine="567"/>
        <w:rPr>
          <w:b w:val="0"/>
          <w:spacing w:val="-2"/>
          <w:sz w:val="28"/>
          <w:szCs w:val="28"/>
          <w:lang w:val="vi-VN"/>
        </w:rPr>
      </w:pPr>
      <w:r w:rsidRPr="00A15F1F">
        <w:rPr>
          <w:b w:val="0"/>
          <w:spacing w:val="-2"/>
          <w:sz w:val="28"/>
          <w:szCs w:val="28"/>
          <w:lang w:val="vi-VN"/>
        </w:rPr>
        <w:lastRenderedPageBreak/>
        <w:t xml:space="preserve">- </w:t>
      </w:r>
      <w:r w:rsidR="00D6492C" w:rsidRPr="00A15F1F">
        <w:rPr>
          <w:b w:val="0"/>
          <w:spacing w:val="-2"/>
          <w:sz w:val="28"/>
          <w:szCs w:val="28"/>
          <w:lang w:val="vi-VN"/>
        </w:rPr>
        <w:t>Tính đến ngày 30 tháng 1</w:t>
      </w:r>
      <w:r w:rsidR="00FE0B10" w:rsidRPr="00A15F1F">
        <w:rPr>
          <w:b w:val="0"/>
          <w:spacing w:val="-2"/>
          <w:sz w:val="28"/>
          <w:szCs w:val="28"/>
          <w:lang w:val="vi-VN"/>
        </w:rPr>
        <w:t>0</w:t>
      </w:r>
      <w:r w:rsidR="00D6492C" w:rsidRPr="00A15F1F">
        <w:rPr>
          <w:b w:val="0"/>
          <w:spacing w:val="-2"/>
          <w:sz w:val="28"/>
          <w:szCs w:val="28"/>
          <w:lang w:val="vi-VN"/>
        </w:rPr>
        <w:t xml:space="preserve"> năm 2021,</w:t>
      </w:r>
      <w:r w:rsidR="00FE0B10" w:rsidRPr="00A15F1F">
        <w:rPr>
          <w:b w:val="0"/>
          <w:spacing w:val="-2"/>
          <w:sz w:val="28"/>
          <w:szCs w:val="28"/>
          <w:lang w:val="vi-VN"/>
        </w:rPr>
        <w:t xml:space="preserve"> </w:t>
      </w:r>
      <w:r w:rsidR="00D6492C" w:rsidRPr="00A15F1F">
        <w:rPr>
          <w:b w:val="0"/>
          <w:spacing w:val="-2"/>
          <w:sz w:val="28"/>
          <w:szCs w:val="28"/>
          <w:lang w:val="vi-VN"/>
        </w:rPr>
        <w:t>t</w:t>
      </w:r>
      <w:r w:rsidR="00FC52A5" w:rsidRPr="00A15F1F">
        <w:rPr>
          <w:b w:val="0"/>
          <w:spacing w:val="-2"/>
          <w:sz w:val="28"/>
          <w:szCs w:val="28"/>
          <w:lang w:val="vi-VN"/>
        </w:rPr>
        <w:t xml:space="preserve">ổng nguồn thu của </w:t>
      </w:r>
      <w:r w:rsidR="00D6492C" w:rsidRPr="00A15F1F">
        <w:rPr>
          <w:b w:val="0"/>
          <w:spacing w:val="-2"/>
          <w:sz w:val="28"/>
          <w:szCs w:val="28"/>
          <w:lang w:val="vi-VN"/>
        </w:rPr>
        <w:t>17</w:t>
      </w:r>
      <w:r w:rsidR="007F40B0" w:rsidRPr="00A15F1F">
        <w:rPr>
          <w:b w:val="0"/>
          <w:spacing w:val="-2"/>
          <w:sz w:val="28"/>
          <w:szCs w:val="28"/>
          <w:lang w:val="vi-VN"/>
        </w:rPr>
        <w:t xml:space="preserve"> Quỹ </w:t>
      </w:r>
      <w:r w:rsidR="00D6492C" w:rsidRPr="00A15F1F">
        <w:rPr>
          <w:b w:val="0"/>
          <w:spacing w:val="-2"/>
          <w:sz w:val="28"/>
          <w:szCs w:val="28"/>
          <w:lang w:val="vi-VN"/>
        </w:rPr>
        <w:t xml:space="preserve">tài chính nhà nước ngoài ngân sách </w:t>
      </w:r>
      <w:r w:rsidR="00244A90" w:rsidRPr="00A15F1F">
        <w:rPr>
          <w:b w:val="0"/>
          <w:spacing w:val="-2"/>
          <w:sz w:val="28"/>
          <w:szCs w:val="28"/>
          <w:lang w:val="vi-VN"/>
        </w:rPr>
        <w:t xml:space="preserve">do cấp tỉnh quản lý tính </w:t>
      </w:r>
      <w:r w:rsidR="00D6492C" w:rsidRPr="00A15F1F">
        <w:rPr>
          <w:b w:val="0"/>
          <w:spacing w:val="-2"/>
          <w:sz w:val="28"/>
          <w:szCs w:val="28"/>
          <w:lang w:val="vi-VN"/>
        </w:rPr>
        <w:t>là</w:t>
      </w:r>
      <w:r w:rsidR="005C48AE" w:rsidRPr="00A15F1F">
        <w:rPr>
          <w:b w:val="0"/>
          <w:spacing w:val="-2"/>
          <w:sz w:val="28"/>
          <w:szCs w:val="28"/>
          <w:lang w:val="vi-VN"/>
        </w:rPr>
        <w:t xml:space="preserve"> 386.918 triệu đồng</w:t>
      </w:r>
      <w:r w:rsidR="00244A90" w:rsidRPr="00A15F1F">
        <w:rPr>
          <w:b w:val="0"/>
          <w:spacing w:val="-2"/>
          <w:sz w:val="28"/>
          <w:szCs w:val="28"/>
          <w:lang w:val="vi-VN"/>
        </w:rPr>
        <w:t xml:space="preserve"> </w:t>
      </w:r>
      <w:r w:rsidR="00D6492C" w:rsidRPr="00A15F1F">
        <w:rPr>
          <w:b w:val="0"/>
          <w:spacing w:val="-2"/>
          <w:sz w:val="28"/>
          <w:szCs w:val="28"/>
          <w:lang w:val="vi-VN"/>
        </w:rPr>
        <w:t>và tổng số sử dụng</w:t>
      </w:r>
      <w:r w:rsidR="00FE0B10" w:rsidRPr="00A15F1F">
        <w:rPr>
          <w:b w:val="0"/>
          <w:spacing w:val="-2"/>
          <w:sz w:val="28"/>
          <w:szCs w:val="28"/>
          <w:lang w:val="vi-VN"/>
        </w:rPr>
        <w:t xml:space="preserve"> của các Quỹ trên là </w:t>
      </w:r>
      <w:r w:rsidR="005C48AE" w:rsidRPr="00A15F1F">
        <w:rPr>
          <w:b w:val="0"/>
          <w:spacing w:val="-2"/>
          <w:sz w:val="28"/>
          <w:szCs w:val="28"/>
          <w:lang w:val="vi-VN"/>
        </w:rPr>
        <w:t>599.312 triệu đồng</w:t>
      </w:r>
      <w:r w:rsidR="001E5BD7" w:rsidRPr="00A15F1F">
        <w:rPr>
          <w:b w:val="0"/>
          <w:spacing w:val="-2"/>
          <w:sz w:val="28"/>
          <w:szCs w:val="28"/>
          <w:lang w:val="vi-VN"/>
        </w:rPr>
        <w:t xml:space="preserve"> </w:t>
      </w:r>
      <w:r w:rsidR="001E5BD7" w:rsidRPr="00A15F1F">
        <w:rPr>
          <w:b w:val="0"/>
          <w:i/>
          <w:spacing w:val="-2"/>
          <w:sz w:val="28"/>
          <w:szCs w:val="28"/>
          <w:lang w:val="vi-VN"/>
        </w:rPr>
        <w:t>(chi tiết tại Phụ lục 02).</w:t>
      </w:r>
    </w:p>
    <w:p w14:paraId="25C7028D" w14:textId="4DFB225B" w:rsidR="00CC29ED" w:rsidRPr="0028668C" w:rsidRDefault="004A7CC2" w:rsidP="00713A97">
      <w:pPr>
        <w:pStyle w:val="BodyText"/>
        <w:spacing w:before="60"/>
        <w:ind w:firstLine="567"/>
        <w:rPr>
          <w:b w:val="0"/>
          <w:sz w:val="28"/>
          <w:szCs w:val="28"/>
          <w:lang w:val="en-US"/>
        </w:rPr>
      </w:pPr>
      <w:r w:rsidRPr="00A15F1F">
        <w:rPr>
          <w:b w:val="0"/>
          <w:sz w:val="28"/>
          <w:szCs w:val="28"/>
          <w:lang w:val="vi-VN"/>
        </w:rPr>
        <w:t xml:space="preserve">- </w:t>
      </w:r>
      <w:r w:rsidR="00CC29ED" w:rsidRPr="0028668C">
        <w:rPr>
          <w:b w:val="0"/>
          <w:sz w:val="28"/>
          <w:szCs w:val="28"/>
        </w:rPr>
        <w:t xml:space="preserve">Tổng nguồn thu </w:t>
      </w:r>
      <w:r w:rsidR="0087021E" w:rsidRPr="00A15F1F">
        <w:rPr>
          <w:b w:val="0"/>
          <w:sz w:val="28"/>
          <w:szCs w:val="28"/>
          <w:lang w:val="vi-VN"/>
        </w:rPr>
        <w:t xml:space="preserve">dự kiến </w:t>
      </w:r>
      <w:r w:rsidR="00CC29ED" w:rsidRPr="0028668C">
        <w:rPr>
          <w:b w:val="0"/>
          <w:sz w:val="28"/>
          <w:szCs w:val="28"/>
        </w:rPr>
        <w:t>phát sinh năm 20</w:t>
      </w:r>
      <w:r w:rsidR="00CC29ED" w:rsidRPr="00A15F1F">
        <w:rPr>
          <w:b w:val="0"/>
          <w:sz w:val="28"/>
          <w:szCs w:val="28"/>
          <w:lang w:val="vi-VN"/>
        </w:rPr>
        <w:t>2</w:t>
      </w:r>
      <w:r w:rsidR="006A6C36" w:rsidRPr="00A15F1F">
        <w:rPr>
          <w:b w:val="0"/>
          <w:sz w:val="28"/>
          <w:szCs w:val="28"/>
          <w:lang w:val="vi-VN"/>
        </w:rPr>
        <w:t>1</w:t>
      </w:r>
      <w:r w:rsidR="00CC29ED" w:rsidRPr="0028668C">
        <w:rPr>
          <w:b w:val="0"/>
          <w:sz w:val="28"/>
          <w:szCs w:val="28"/>
        </w:rPr>
        <w:t xml:space="preserve"> là </w:t>
      </w:r>
      <w:r w:rsidR="006A6C36" w:rsidRPr="00A15F1F">
        <w:rPr>
          <w:b w:val="0"/>
          <w:sz w:val="28"/>
          <w:szCs w:val="28"/>
          <w:lang w:val="vi-VN"/>
        </w:rPr>
        <w:t xml:space="preserve">450.421 </w:t>
      </w:r>
      <w:r w:rsidR="00CC29ED" w:rsidRPr="0028668C">
        <w:rPr>
          <w:b w:val="0"/>
          <w:sz w:val="28"/>
          <w:szCs w:val="28"/>
        </w:rPr>
        <w:t xml:space="preserve">triệu đồng </w:t>
      </w:r>
      <w:r w:rsidR="00CC29ED" w:rsidRPr="0028668C">
        <w:rPr>
          <w:b w:val="0"/>
          <w:i/>
          <w:sz w:val="28"/>
          <w:szCs w:val="28"/>
        </w:rPr>
        <w:t>(cấp tỉnh</w:t>
      </w:r>
      <w:r w:rsidR="006A6C36" w:rsidRPr="00A15F1F">
        <w:rPr>
          <w:b w:val="0"/>
          <w:i/>
          <w:sz w:val="28"/>
          <w:szCs w:val="28"/>
          <w:lang w:val="vi-VN"/>
        </w:rPr>
        <w:t xml:space="preserve"> 433.758</w:t>
      </w:r>
      <w:r w:rsidR="00CC29ED" w:rsidRPr="00A15F1F">
        <w:rPr>
          <w:b w:val="0"/>
          <w:i/>
          <w:sz w:val="28"/>
          <w:szCs w:val="28"/>
          <w:lang w:val="vi-VN"/>
        </w:rPr>
        <w:t xml:space="preserve"> </w:t>
      </w:r>
      <w:r w:rsidR="00CC29ED" w:rsidRPr="0028668C">
        <w:rPr>
          <w:b w:val="0"/>
          <w:i/>
          <w:sz w:val="28"/>
          <w:szCs w:val="28"/>
        </w:rPr>
        <w:t xml:space="preserve">triệu đồng, cấp huyện </w:t>
      </w:r>
      <w:r w:rsidR="006A6C36" w:rsidRPr="00A15F1F">
        <w:rPr>
          <w:b w:val="0"/>
          <w:i/>
          <w:sz w:val="28"/>
          <w:szCs w:val="28"/>
          <w:lang w:val="vi-VN"/>
        </w:rPr>
        <w:t>16.663</w:t>
      </w:r>
      <w:r w:rsidR="00CC29ED" w:rsidRPr="0028668C">
        <w:rPr>
          <w:b w:val="0"/>
          <w:i/>
          <w:sz w:val="28"/>
          <w:szCs w:val="28"/>
        </w:rPr>
        <w:t xml:space="preserve"> triệu đồng)</w:t>
      </w:r>
      <w:r w:rsidR="00CC29ED" w:rsidRPr="0028668C">
        <w:rPr>
          <w:b w:val="0"/>
          <w:sz w:val="28"/>
          <w:szCs w:val="28"/>
        </w:rPr>
        <w:t xml:space="preserve">; </w:t>
      </w:r>
      <w:r w:rsidR="00CC29ED" w:rsidRPr="00A15F1F">
        <w:rPr>
          <w:b w:val="0"/>
          <w:sz w:val="28"/>
          <w:szCs w:val="28"/>
          <w:lang w:val="vi-VN"/>
        </w:rPr>
        <w:t xml:space="preserve">dự kiến </w:t>
      </w:r>
      <w:r w:rsidR="00CC29ED" w:rsidRPr="0028668C">
        <w:rPr>
          <w:b w:val="0"/>
          <w:sz w:val="28"/>
          <w:szCs w:val="28"/>
        </w:rPr>
        <w:t>hết năm 20</w:t>
      </w:r>
      <w:r w:rsidR="00CC29ED" w:rsidRPr="00A15F1F">
        <w:rPr>
          <w:b w:val="0"/>
          <w:sz w:val="28"/>
          <w:szCs w:val="28"/>
          <w:lang w:val="vi-VN"/>
        </w:rPr>
        <w:t>2</w:t>
      </w:r>
      <w:r w:rsidR="006A6C36" w:rsidRPr="00A15F1F">
        <w:rPr>
          <w:b w:val="0"/>
          <w:sz w:val="28"/>
          <w:szCs w:val="28"/>
          <w:lang w:val="vi-VN"/>
        </w:rPr>
        <w:t>1</w:t>
      </w:r>
      <w:r w:rsidR="00CC29ED" w:rsidRPr="0028668C">
        <w:rPr>
          <w:b w:val="0"/>
          <w:sz w:val="28"/>
          <w:szCs w:val="28"/>
        </w:rPr>
        <w:t xml:space="preserve">, sử dụng </w:t>
      </w:r>
      <w:r w:rsidR="006A6C36" w:rsidRPr="00A15F1F">
        <w:rPr>
          <w:b w:val="0"/>
          <w:sz w:val="28"/>
          <w:szCs w:val="28"/>
          <w:lang w:val="vi-VN"/>
        </w:rPr>
        <w:t xml:space="preserve">825.351 </w:t>
      </w:r>
      <w:r w:rsidR="00CC29ED" w:rsidRPr="0028668C">
        <w:rPr>
          <w:b w:val="0"/>
          <w:sz w:val="28"/>
          <w:szCs w:val="28"/>
        </w:rPr>
        <w:t xml:space="preserve">triệu đồng </w:t>
      </w:r>
      <w:r w:rsidR="00CC29ED" w:rsidRPr="0028668C">
        <w:rPr>
          <w:b w:val="0"/>
          <w:i/>
          <w:sz w:val="28"/>
          <w:szCs w:val="28"/>
        </w:rPr>
        <w:t xml:space="preserve">(cấp tỉnh </w:t>
      </w:r>
      <w:r w:rsidR="006A6C36" w:rsidRPr="00A15F1F">
        <w:rPr>
          <w:b w:val="0"/>
          <w:i/>
          <w:sz w:val="28"/>
          <w:szCs w:val="28"/>
          <w:lang w:val="vi-VN"/>
        </w:rPr>
        <w:t>800.345</w:t>
      </w:r>
      <w:r w:rsidR="00CC29ED" w:rsidRPr="0028668C">
        <w:rPr>
          <w:b w:val="0"/>
          <w:i/>
          <w:sz w:val="28"/>
          <w:szCs w:val="28"/>
        </w:rPr>
        <w:t xml:space="preserve"> triệu đồng</w:t>
      </w:r>
      <w:r w:rsidR="0063749B" w:rsidRPr="00A15F1F">
        <w:rPr>
          <w:b w:val="0"/>
          <w:i/>
          <w:sz w:val="28"/>
          <w:szCs w:val="28"/>
          <w:vertAlign w:val="superscript"/>
          <w:lang w:val="vi-VN"/>
        </w:rPr>
        <w:t>(</w:t>
      </w:r>
      <w:r w:rsidR="006A6C36" w:rsidRPr="0028668C">
        <w:rPr>
          <w:rStyle w:val="FootnoteReference"/>
          <w:b w:val="0"/>
          <w:i/>
          <w:sz w:val="28"/>
          <w:szCs w:val="28"/>
        </w:rPr>
        <w:footnoteReference w:id="4"/>
      </w:r>
      <w:r w:rsidR="0063749B" w:rsidRPr="00A15F1F">
        <w:rPr>
          <w:b w:val="0"/>
          <w:i/>
          <w:sz w:val="28"/>
          <w:szCs w:val="28"/>
          <w:vertAlign w:val="superscript"/>
          <w:lang w:val="vi-VN"/>
        </w:rPr>
        <w:t>)</w:t>
      </w:r>
      <w:r w:rsidR="00CC29ED" w:rsidRPr="0028668C">
        <w:rPr>
          <w:b w:val="0"/>
          <w:i/>
          <w:sz w:val="28"/>
          <w:szCs w:val="28"/>
        </w:rPr>
        <w:t xml:space="preserve">, cấp huyện </w:t>
      </w:r>
      <w:r w:rsidR="006A6C36" w:rsidRPr="00A15F1F">
        <w:rPr>
          <w:b w:val="0"/>
          <w:i/>
          <w:sz w:val="28"/>
          <w:szCs w:val="28"/>
          <w:lang w:val="vi-VN"/>
        </w:rPr>
        <w:t>25.006</w:t>
      </w:r>
      <w:r w:rsidR="00CC29ED" w:rsidRPr="00A15F1F">
        <w:rPr>
          <w:b w:val="0"/>
          <w:i/>
          <w:sz w:val="28"/>
          <w:szCs w:val="28"/>
          <w:lang w:val="vi-VN"/>
        </w:rPr>
        <w:t xml:space="preserve"> </w:t>
      </w:r>
      <w:r w:rsidR="00CC29ED" w:rsidRPr="0028668C">
        <w:rPr>
          <w:b w:val="0"/>
          <w:i/>
          <w:sz w:val="28"/>
          <w:szCs w:val="28"/>
        </w:rPr>
        <w:t>triệu đồng)</w:t>
      </w:r>
      <w:r w:rsidR="00CC29ED" w:rsidRPr="0028668C">
        <w:rPr>
          <w:b w:val="0"/>
          <w:sz w:val="28"/>
          <w:szCs w:val="28"/>
        </w:rPr>
        <w:t xml:space="preserve">; Ước nguồn tài chính còn </w:t>
      </w:r>
      <w:r w:rsidR="0087021E" w:rsidRPr="00A15F1F">
        <w:rPr>
          <w:b w:val="0"/>
          <w:sz w:val="28"/>
          <w:szCs w:val="28"/>
          <w:lang w:val="vi-VN"/>
        </w:rPr>
        <w:t xml:space="preserve">lại </w:t>
      </w:r>
      <w:r w:rsidR="00CC29ED" w:rsidRPr="0028668C">
        <w:rPr>
          <w:b w:val="0"/>
          <w:sz w:val="28"/>
          <w:szCs w:val="28"/>
        </w:rPr>
        <w:t xml:space="preserve">đến </w:t>
      </w:r>
      <w:r w:rsidR="00CC29ED" w:rsidRPr="00A15F1F">
        <w:rPr>
          <w:b w:val="0"/>
          <w:sz w:val="28"/>
          <w:szCs w:val="28"/>
          <w:lang w:val="vi-VN"/>
        </w:rPr>
        <w:t xml:space="preserve">ngày </w:t>
      </w:r>
      <w:r w:rsidR="00CC29ED" w:rsidRPr="0028668C">
        <w:rPr>
          <w:b w:val="0"/>
          <w:sz w:val="28"/>
          <w:szCs w:val="28"/>
        </w:rPr>
        <w:t>31</w:t>
      </w:r>
      <w:r w:rsidR="00CC29ED" w:rsidRPr="00A15F1F">
        <w:rPr>
          <w:b w:val="0"/>
          <w:sz w:val="28"/>
          <w:szCs w:val="28"/>
          <w:lang w:val="vi-VN"/>
        </w:rPr>
        <w:t xml:space="preserve"> tháng </w:t>
      </w:r>
      <w:r w:rsidR="00CC29ED" w:rsidRPr="0028668C">
        <w:rPr>
          <w:b w:val="0"/>
          <w:sz w:val="28"/>
          <w:szCs w:val="28"/>
        </w:rPr>
        <w:t>12</w:t>
      </w:r>
      <w:r w:rsidR="00CC29ED" w:rsidRPr="00A15F1F">
        <w:rPr>
          <w:b w:val="0"/>
          <w:sz w:val="28"/>
          <w:szCs w:val="28"/>
          <w:lang w:val="vi-VN"/>
        </w:rPr>
        <w:t xml:space="preserve"> năm </w:t>
      </w:r>
      <w:r w:rsidR="00CC29ED" w:rsidRPr="0028668C">
        <w:rPr>
          <w:b w:val="0"/>
          <w:sz w:val="28"/>
          <w:szCs w:val="28"/>
        </w:rPr>
        <w:t>20</w:t>
      </w:r>
      <w:r w:rsidR="00CC29ED" w:rsidRPr="00A15F1F">
        <w:rPr>
          <w:b w:val="0"/>
          <w:sz w:val="28"/>
          <w:szCs w:val="28"/>
          <w:lang w:val="vi-VN"/>
        </w:rPr>
        <w:t>2</w:t>
      </w:r>
      <w:r w:rsidR="006A6C36" w:rsidRPr="00A15F1F">
        <w:rPr>
          <w:b w:val="0"/>
          <w:sz w:val="28"/>
          <w:szCs w:val="28"/>
          <w:lang w:val="vi-VN"/>
        </w:rPr>
        <w:t>1</w:t>
      </w:r>
      <w:r w:rsidR="00CC29ED" w:rsidRPr="0028668C">
        <w:rPr>
          <w:b w:val="0"/>
          <w:sz w:val="28"/>
          <w:szCs w:val="28"/>
        </w:rPr>
        <w:t xml:space="preserve"> là </w:t>
      </w:r>
      <w:r w:rsidR="006A6C36" w:rsidRPr="00A15F1F">
        <w:rPr>
          <w:b w:val="0"/>
          <w:sz w:val="28"/>
          <w:szCs w:val="28"/>
          <w:lang w:val="vi-VN"/>
        </w:rPr>
        <w:t xml:space="preserve">313.557 </w:t>
      </w:r>
      <w:r w:rsidR="00CC29ED" w:rsidRPr="0028668C">
        <w:rPr>
          <w:b w:val="0"/>
          <w:sz w:val="28"/>
          <w:szCs w:val="28"/>
        </w:rPr>
        <w:t>triệu đồng</w:t>
      </w:r>
      <w:r w:rsidR="00CC29ED" w:rsidRPr="00A15F1F">
        <w:rPr>
          <w:b w:val="0"/>
          <w:sz w:val="28"/>
          <w:szCs w:val="28"/>
          <w:vertAlign w:val="superscript"/>
          <w:lang w:val="vi-VN"/>
        </w:rPr>
        <w:t>(</w:t>
      </w:r>
      <w:r w:rsidR="00CC29ED" w:rsidRPr="0028668C">
        <w:rPr>
          <w:rStyle w:val="FootnoteReference"/>
          <w:b w:val="0"/>
          <w:sz w:val="28"/>
          <w:szCs w:val="28"/>
        </w:rPr>
        <w:footnoteReference w:id="5"/>
      </w:r>
      <w:r w:rsidR="00CC29ED" w:rsidRPr="00A15F1F">
        <w:rPr>
          <w:b w:val="0"/>
          <w:sz w:val="28"/>
          <w:szCs w:val="28"/>
          <w:vertAlign w:val="superscript"/>
          <w:lang w:val="vi-VN"/>
        </w:rPr>
        <w:t>)</w:t>
      </w:r>
      <w:r w:rsidR="00CC29ED" w:rsidRPr="0028668C">
        <w:rPr>
          <w:b w:val="0"/>
          <w:sz w:val="28"/>
          <w:szCs w:val="28"/>
        </w:rPr>
        <w:t xml:space="preserve">. </w:t>
      </w:r>
      <w:r w:rsidR="00CC29ED" w:rsidRPr="0028668C">
        <w:rPr>
          <w:b w:val="0"/>
          <w:sz w:val="28"/>
          <w:szCs w:val="28"/>
          <w:lang w:val="en-US"/>
        </w:rPr>
        <w:t>Việc</w:t>
      </w:r>
      <w:r w:rsidR="00CC29ED" w:rsidRPr="0028668C">
        <w:rPr>
          <w:b w:val="0"/>
          <w:sz w:val="28"/>
          <w:szCs w:val="28"/>
        </w:rPr>
        <w:t xml:space="preserve"> thực hiện kế hoạch tài chính năm 20</w:t>
      </w:r>
      <w:r w:rsidR="00CC29ED" w:rsidRPr="0028668C">
        <w:rPr>
          <w:b w:val="0"/>
          <w:sz w:val="28"/>
          <w:szCs w:val="28"/>
          <w:lang w:val="en-US"/>
        </w:rPr>
        <w:t>2</w:t>
      </w:r>
      <w:r w:rsidR="006A6C36" w:rsidRPr="0028668C">
        <w:rPr>
          <w:b w:val="0"/>
          <w:sz w:val="28"/>
          <w:szCs w:val="28"/>
          <w:lang w:val="en-US"/>
        </w:rPr>
        <w:t>1</w:t>
      </w:r>
      <w:r w:rsidR="00CC29ED" w:rsidRPr="0028668C">
        <w:rPr>
          <w:b w:val="0"/>
          <w:sz w:val="28"/>
          <w:szCs w:val="28"/>
        </w:rPr>
        <w:t xml:space="preserve"> của các Q</w:t>
      </w:r>
      <w:r w:rsidR="00CC29ED" w:rsidRPr="0028668C">
        <w:rPr>
          <w:b w:val="0"/>
          <w:sz w:val="28"/>
          <w:szCs w:val="28"/>
          <w:lang w:val="en-US"/>
        </w:rPr>
        <w:t>uỹ</w:t>
      </w:r>
      <w:r w:rsidR="00CC29ED" w:rsidRPr="0028668C">
        <w:rPr>
          <w:b w:val="0"/>
          <w:sz w:val="28"/>
          <w:szCs w:val="28"/>
        </w:rPr>
        <w:t xml:space="preserve"> trên địa bàn tỉnh chủ yếu chi cho vay, ứng vốn, chi hoạt động bộ máy Quỹ và chi thực hiện nhiệm vụ hỗ trợ, tài trợ,</w:t>
      </w:r>
      <w:r w:rsidR="006A6C36" w:rsidRPr="0028668C">
        <w:rPr>
          <w:b w:val="0"/>
          <w:sz w:val="28"/>
          <w:szCs w:val="28"/>
          <w:lang w:val="en-US"/>
        </w:rPr>
        <w:t xml:space="preserve"> </w:t>
      </w:r>
      <w:r w:rsidR="00CC29ED" w:rsidRPr="0028668C">
        <w:rPr>
          <w:b w:val="0"/>
          <w:sz w:val="28"/>
          <w:szCs w:val="28"/>
        </w:rPr>
        <w:t>…</w:t>
      </w:r>
      <w:r w:rsidR="00CC29ED" w:rsidRPr="0028668C">
        <w:rPr>
          <w:b w:val="0"/>
          <w:sz w:val="28"/>
          <w:szCs w:val="28"/>
          <w:lang w:val="en-US"/>
        </w:rPr>
        <w:t xml:space="preserve"> </w:t>
      </w:r>
      <w:r w:rsidR="00CC29ED" w:rsidRPr="0028668C">
        <w:rPr>
          <w:b w:val="0"/>
          <w:sz w:val="28"/>
          <w:szCs w:val="28"/>
        </w:rPr>
        <w:t xml:space="preserve">theo quy định hoạt động của Quỹ và nhiệm vụ được cấp thẩm quyền giao. </w:t>
      </w:r>
    </w:p>
    <w:p w14:paraId="5EB9A314" w14:textId="77777777" w:rsidR="00CC29ED" w:rsidRPr="0028668C" w:rsidRDefault="00CC29ED" w:rsidP="00713A97">
      <w:pPr>
        <w:pStyle w:val="BodyText"/>
        <w:spacing w:before="60"/>
        <w:ind w:firstLine="567"/>
        <w:rPr>
          <w:sz w:val="28"/>
          <w:szCs w:val="28"/>
          <w:lang w:val="en-US"/>
        </w:rPr>
      </w:pPr>
      <w:r w:rsidRPr="0028668C">
        <w:rPr>
          <w:sz w:val="28"/>
          <w:szCs w:val="28"/>
          <w:lang w:val="en-US"/>
        </w:rPr>
        <w:t>II. ĐÁNH GIÁ CHUNG</w:t>
      </w:r>
    </w:p>
    <w:p w14:paraId="12B21787" w14:textId="420BDD3C" w:rsidR="00CC29ED" w:rsidRPr="0028668C" w:rsidRDefault="00CC29ED" w:rsidP="00713A97">
      <w:pPr>
        <w:spacing w:before="60"/>
        <w:ind w:firstLine="567"/>
        <w:jc w:val="both"/>
        <w:rPr>
          <w:b/>
          <w:sz w:val="28"/>
          <w:szCs w:val="28"/>
          <w:lang w:val="es-ES_tradnl"/>
        </w:rPr>
      </w:pPr>
      <w:r w:rsidRPr="0028668C">
        <w:rPr>
          <w:b/>
          <w:sz w:val="28"/>
          <w:szCs w:val="28"/>
          <w:lang w:val="es-ES_tradnl"/>
        </w:rPr>
        <w:t>1. Kết quả đạt được</w:t>
      </w:r>
    </w:p>
    <w:p w14:paraId="553D40AD" w14:textId="66E42886" w:rsidR="00CC29ED" w:rsidRPr="0028668C" w:rsidRDefault="00CC29ED" w:rsidP="00713A97">
      <w:pPr>
        <w:spacing w:before="60"/>
        <w:ind w:firstLine="567"/>
        <w:jc w:val="both"/>
        <w:rPr>
          <w:sz w:val="28"/>
          <w:szCs w:val="28"/>
          <w:lang w:val="es-ES_tradnl"/>
        </w:rPr>
      </w:pPr>
      <w:r w:rsidRPr="0028668C">
        <w:rPr>
          <w:sz w:val="28"/>
          <w:szCs w:val="28"/>
          <w:lang w:val="es-ES_tradnl"/>
        </w:rPr>
        <w:t xml:space="preserve">- Việc triển khai thực hiện nhiệm vụ được giao của các Quỹ tài chính nhà nước đã được sự quan tâm, chỉ đạo kịp thời của Tỉnh ủy, Hội đồng nhân dân </w:t>
      </w:r>
      <w:r w:rsidR="00713A08" w:rsidRPr="0028668C">
        <w:rPr>
          <w:sz w:val="28"/>
          <w:szCs w:val="28"/>
          <w:lang w:val="es-ES_tradnl"/>
        </w:rPr>
        <w:t xml:space="preserve">tỉnh </w:t>
      </w:r>
      <w:r w:rsidRPr="0028668C">
        <w:rPr>
          <w:sz w:val="28"/>
          <w:szCs w:val="28"/>
          <w:lang w:val="es-ES_tradnl"/>
        </w:rPr>
        <w:t>và Ủy ban nhân dân tỉnh</w:t>
      </w:r>
      <w:r w:rsidR="000A6B5E" w:rsidRPr="0028668C">
        <w:rPr>
          <w:sz w:val="28"/>
          <w:szCs w:val="28"/>
          <w:lang w:val="es-ES_tradnl"/>
        </w:rPr>
        <w:t>, c</w:t>
      </w:r>
      <w:r w:rsidR="00BD70F7" w:rsidRPr="0028668C">
        <w:rPr>
          <w:sz w:val="28"/>
          <w:szCs w:val="28"/>
          <w:lang w:val="es-ES_tradnl"/>
        </w:rPr>
        <w:t>ó sự phối hợp của các Sở, ban n</w:t>
      </w:r>
      <w:r w:rsidR="000A6B5E" w:rsidRPr="0028668C">
        <w:rPr>
          <w:sz w:val="28"/>
          <w:szCs w:val="28"/>
          <w:lang w:val="es-ES_tradnl"/>
        </w:rPr>
        <w:t>gành liên quan đến công tác của Quỹ.</w:t>
      </w:r>
    </w:p>
    <w:p w14:paraId="29E71440" w14:textId="5C9F33D8" w:rsidR="00CC29ED" w:rsidRPr="0028668C" w:rsidRDefault="00CC29ED" w:rsidP="00713A97">
      <w:pPr>
        <w:spacing w:before="60"/>
        <w:ind w:firstLine="567"/>
        <w:jc w:val="both"/>
        <w:rPr>
          <w:spacing w:val="-2"/>
          <w:sz w:val="28"/>
          <w:szCs w:val="28"/>
          <w:lang w:val="vi-VN"/>
        </w:rPr>
      </w:pPr>
      <w:r w:rsidRPr="0028668C">
        <w:rPr>
          <w:spacing w:val="-2"/>
          <w:sz w:val="28"/>
          <w:szCs w:val="28"/>
          <w:lang w:val="es-ES_tradnl"/>
        </w:rPr>
        <w:t xml:space="preserve">- Trong điều kiện nguồn lực hỗ trợ từ ngân sách còn hạn chế, một số Quỹ tài chính </w:t>
      </w:r>
      <w:r w:rsidRPr="0028668C">
        <w:rPr>
          <w:spacing w:val="-2"/>
          <w:sz w:val="28"/>
          <w:szCs w:val="28"/>
          <w:lang w:val="vi-VN"/>
        </w:rPr>
        <w:t xml:space="preserve">nhà nước </w:t>
      </w:r>
      <w:r w:rsidRPr="0028668C">
        <w:rPr>
          <w:spacing w:val="-2"/>
          <w:sz w:val="28"/>
          <w:szCs w:val="28"/>
          <w:lang w:val="es-ES_tradnl"/>
        </w:rPr>
        <w:t xml:space="preserve">đã tích cực, chủ động triển khai thực hiện nhiều giải pháp huy động đóng góp tài chính, vật chất của các doanh nghiệp, các tổ chức kinh tế và các tổ chức, cá nhân khác trong và ngoài </w:t>
      </w:r>
      <w:r w:rsidRPr="0028668C">
        <w:rPr>
          <w:spacing w:val="-2"/>
          <w:sz w:val="28"/>
          <w:szCs w:val="28"/>
          <w:lang w:val="vi-VN"/>
        </w:rPr>
        <w:t xml:space="preserve">tỉnh </w:t>
      </w:r>
      <w:r w:rsidR="002313BB" w:rsidRPr="0028668C">
        <w:rPr>
          <w:spacing w:val="-2"/>
          <w:sz w:val="28"/>
          <w:szCs w:val="28"/>
          <w:lang w:val="es-ES_tradnl"/>
        </w:rPr>
        <w:t>để bổ sung nguồn lực cho Quỹ. Q</w:t>
      </w:r>
      <w:r w:rsidRPr="0028668C">
        <w:rPr>
          <w:spacing w:val="-2"/>
          <w:sz w:val="28"/>
          <w:szCs w:val="28"/>
          <w:lang w:val="es-ES_tradnl"/>
        </w:rPr>
        <w:t>ua đó</w:t>
      </w:r>
      <w:r w:rsidR="002313BB" w:rsidRPr="0028668C">
        <w:rPr>
          <w:spacing w:val="-2"/>
          <w:sz w:val="28"/>
          <w:szCs w:val="28"/>
          <w:lang w:val="es-ES_tradnl"/>
        </w:rPr>
        <w:t>,</w:t>
      </w:r>
      <w:r w:rsidRPr="0028668C">
        <w:rPr>
          <w:spacing w:val="-2"/>
          <w:sz w:val="28"/>
          <w:szCs w:val="28"/>
          <w:lang w:val="es-ES_tradnl"/>
        </w:rPr>
        <w:t xml:space="preserve"> thúc đẩy quá trình xã hội hóa, động viên thêm được nguồn tài chính trong xã hội phục vụ cho một số mục tiêu chung của cộng đồng hoặc của ngành, lĩnh vực, góp phần phát triển kinh tế </w:t>
      </w:r>
      <w:r w:rsidRPr="0028668C">
        <w:rPr>
          <w:spacing w:val="-2"/>
          <w:sz w:val="28"/>
          <w:szCs w:val="28"/>
          <w:lang w:val="vi-VN"/>
        </w:rPr>
        <w:t xml:space="preserve">- </w:t>
      </w:r>
      <w:r w:rsidRPr="0028668C">
        <w:rPr>
          <w:spacing w:val="-2"/>
          <w:sz w:val="28"/>
          <w:szCs w:val="28"/>
          <w:lang w:val="es-ES_tradnl"/>
        </w:rPr>
        <w:t>xã hội trên địa bàn. Trong đó, tiêu biểu như:</w:t>
      </w:r>
    </w:p>
    <w:p w14:paraId="2100A834" w14:textId="088F5BFB" w:rsidR="00CC29ED" w:rsidRPr="0028668C" w:rsidRDefault="00CC29ED" w:rsidP="00713A97">
      <w:pPr>
        <w:spacing w:before="60"/>
        <w:ind w:firstLine="567"/>
        <w:jc w:val="both"/>
        <w:rPr>
          <w:sz w:val="28"/>
          <w:szCs w:val="28"/>
          <w:lang w:val="es-ES_tradnl"/>
        </w:rPr>
      </w:pPr>
      <w:r w:rsidRPr="0028668C">
        <w:rPr>
          <w:sz w:val="28"/>
          <w:szCs w:val="28"/>
          <w:lang w:val="es-ES_tradnl"/>
        </w:rPr>
        <w:t xml:space="preserve">+ Quỹ </w:t>
      </w:r>
      <w:r w:rsidR="00AA0B54" w:rsidRPr="0028668C">
        <w:rPr>
          <w:sz w:val="28"/>
          <w:szCs w:val="28"/>
          <w:lang w:val="es-ES_tradnl"/>
        </w:rPr>
        <w:t>Bảo trợ trẻ em (BTTE)</w:t>
      </w:r>
      <w:r w:rsidRPr="0028668C">
        <w:rPr>
          <w:sz w:val="28"/>
          <w:szCs w:val="28"/>
          <w:lang w:val="es-ES_tradnl"/>
        </w:rPr>
        <w:t>:</w:t>
      </w:r>
      <w:r w:rsidR="00AA0B54" w:rsidRPr="00A15F1F">
        <w:rPr>
          <w:i/>
          <w:iCs/>
          <w:sz w:val="28"/>
          <w:szCs w:val="28"/>
          <w:lang w:val="es-ES_tradnl"/>
        </w:rPr>
        <w:t xml:space="preserve"> Vận động nguồn lực:</w:t>
      </w:r>
      <w:r w:rsidR="00AA0B54" w:rsidRPr="00A15F1F">
        <w:rPr>
          <w:sz w:val="28"/>
          <w:szCs w:val="28"/>
          <w:lang w:val="es-ES_tradnl"/>
        </w:rPr>
        <w:t xml:space="preserve"> Kêu gọi vận động bằng hình thức gửi thư ngỏ đến các đơn vị cơ quan, đoàn thể, doanh nghiệp đóng chân trên địa bàn tỉnh ủng hộ, giúp đỡ trẻ em có hoàn cảnh đặc khó khăn bằng tiền, hiện vật hoặc mong muốn hỗ trợ trực tiếp đến từng loại đối tượng cụ thể đều được đáp ứng thông qua Quỹ Bảo trợ trẻ em tỉnh</w:t>
      </w:r>
      <w:r w:rsidR="00560314" w:rsidRPr="00A15F1F">
        <w:rPr>
          <w:sz w:val="28"/>
          <w:szCs w:val="28"/>
          <w:lang w:val="es-ES_tradnl"/>
        </w:rPr>
        <w:t xml:space="preserve"> </w:t>
      </w:r>
      <w:r w:rsidR="00560314" w:rsidRPr="00A15F1F">
        <w:rPr>
          <w:i/>
          <w:iCs/>
          <w:sz w:val="28"/>
          <w:szCs w:val="28"/>
          <w:lang w:val="es-ES_tradnl"/>
        </w:rPr>
        <w:t>(BTTE)</w:t>
      </w:r>
      <w:r w:rsidR="00AA0B54" w:rsidRPr="00A15F1F">
        <w:rPr>
          <w:sz w:val="28"/>
          <w:szCs w:val="28"/>
          <w:lang w:val="es-ES_tradnl"/>
        </w:rPr>
        <w:t>, tổng kinh phí vận động là 20</w:t>
      </w:r>
      <w:r w:rsidR="008B1A51" w:rsidRPr="00A15F1F">
        <w:rPr>
          <w:sz w:val="28"/>
          <w:szCs w:val="28"/>
          <w:lang w:val="es-ES_tradnl"/>
        </w:rPr>
        <w:t xml:space="preserve"> triệu</w:t>
      </w:r>
      <w:r w:rsidR="00AA0B54" w:rsidRPr="00A15F1F">
        <w:rPr>
          <w:sz w:val="28"/>
          <w:szCs w:val="28"/>
          <w:lang w:val="es-ES_tradnl"/>
        </w:rPr>
        <w:t xml:space="preserve"> đồng</w:t>
      </w:r>
      <w:r w:rsidR="00AA0B54" w:rsidRPr="0028668C">
        <w:rPr>
          <w:rStyle w:val="FootnoteReference"/>
          <w:sz w:val="28"/>
          <w:szCs w:val="28"/>
        </w:rPr>
        <w:footnoteReference w:id="6"/>
      </w:r>
      <w:r w:rsidR="00AA0B54" w:rsidRPr="00A15F1F">
        <w:rPr>
          <w:sz w:val="28"/>
          <w:szCs w:val="28"/>
          <w:lang w:val="es-ES_tradnl"/>
        </w:rPr>
        <w:t xml:space="preserve">; </w:t>
      </w:r>
      <w:r w:rsidR="00AA0B54" w:rsidRPr="00A15F1F">
        <w:rPr>
          <w:i/>
          <w:iCs/>
          <w:sz w:val="28"/>
          <w:szCs w:val="28"/>
          <w:lang w:val="es-ES_tradnl"/>
        </w:rPr>
        <w:t>Hỗ trợ giáo dục:</w:t>
      </w:r>
      <w:r w:rsidR="00AA0B54" w:rsidRPr="00A15F1F">
        <w:rPr>
          <w:sz w:val="28"/>
          <w:szCs w:val="28"/>
          <w:lang w:val="es-ES_tradnl"/>
        </w:rPr>
        <w:t xml:space="preserve"> Phối hợp với Công ty TNHH BHNT AIA Việt Nam trao tặng 100 chiếc xe đạp và 05 suất hợp đồng Bảo hiểm nhân thọ cho học sinh có hoàn cảnh đặc biệt khó khăn, t</w:t>
      </w:r>
      <w:r w:rsidR="008B1A51" w:rsidRPr="00A15F1F">
        <w:rPr>
          <w:sz w:val="28"/>
          <w:szCs w:val="28"/>
          <w:lang w:val="es-ES_tradnl"/>
        </w:rPr>
        <w:t xml:space="preserve">ổng trị giá hiện vật là 285 triệu </w:t>
      </w:r>
      <w:r w:rsidR="00AA0B54" w:rsidRPr="00A15F1F">
        <w:rPr>
          <w:sz w:val="28"/>
          <w:szCs w:val="28"/>
          <w:lang w:val="es-ES_tradnl"/>
        </w:rPr>
        <w:t>đồng</w:t>
      </w:r>
      <w:r w:rsidR="00D05B24" w:rsidRPr="00A15F1F">
        <w:rPr>
          <w:sz w:val="28"/>
          <w:szCs w:val="28"/>
          <w:vertAlign w:val="superscript"/>
          <w:lang w:val="es-ES_tradnl"/>
        </w:rPr>
        <w:t>(</w:t>
      </w:r>
      <w:r w:rsidR="00AA0B54" w:rsidRPr="0028668C">
        <w:rPr>
          <w:rStyle w:val="FootnoteReference"/>
          <w:sz w:val="28"/>
          <w:szCs w:val="28"/>
        </w:rPr>
        <w:footnoteReference w:id="7"/>
      </w:r>
      <w:r w:rsidR="00D05B24" w:rsidRPr="00A15F1F">
        <w:rPr>
          <w:sz w:val="28"/>
          <w:szCs w:val="28"/>
          <w:vertAlign w:val="superscript"/>
          <w:lang w:val="es-ES_tradnl"/>
        </w:rPr>
        <w:t>)</w:t>
      </w:r>
      <w:r w:rsidR="00AA0B54" w:rsidRPr="00A15F1F">
        <w:rPr>
          <w:sz w:val="28"/>
          <w:szCs w:val="28"/>
          <w:lang w:val="es-ES_tradnl"/>
        </w:rPr>
        <w:t xml:space="preserve">. Tiếp nhận 200 suất học bổng từ nguồn Quỹ Bảo trợ trẻ em Việt Nam với tổng trị giá 200 triệu đồng, Quỹ BTTE tỉnh phân bổ suất học bổng về các huyện, thành phố trao cho trẻ em có hoàn cảnh đặc biệt, khó khăn; Hỗ trợ chăm sóc sức khỏe dinh dưỡng: Chương trình tim bẩm sinh có 2.914 đối tượng </w:t>
      </w:r>
      <w:r w:rsidR="00AA0B54" w:rsidRPr="00A15F1F">
        <w:rPr>
          <w:sz w:val="28"/>
          <w:szCs w:val="28"/>
          <w:lang w:val="es-ES_tradnl"/>
        </w:rPr>
        <w:lastRenderedPageBreak/>
        <w:t>trẻ em tham gia khám, được thăm khám, được tư vấn miễn phí, trong đó phát hiện bệnh và chỉ định phẫu thuật là 34 đối tượng trẻ em, kết nối các Nhà tài trợ hỗ trợ kinh phí để phẫu thuật miễn phí cho trẻ em bị bệnh tim bẩm sinh; Tiếp nhận chương trình Quỹ sữa vươn cao năm 2021 nguồn Quỹ Bảo trợ trẻ em Việt Nam và Công ty Vinamilk Việt Nam phân bổ cho 728 trẻ em ở các cơ sở trợ giúp xã hội trong và ngoài công lập tỉnh, mỗi ngày trẻ em được uống 01 hộp sữa của Vinamilk loại 180ml, uống tại cơ sở thụ hưởng liên tục trong 03 tháng (90 hộp) với tổng số hộp sữa được nhận là 65.520 hộp sữa vớ</w:t>
      </w:r>
      <w:r w:rsidR="008B1A51" w:rsidRPr="00A15F1F">
        <w:rPr>
          <w:sz w:val="28"/>
          <w:szCs w:val="28"/>
          <w:lang w:val="es-ES_tradnl"/>
        </w:rPr>
        <w:t>i tổng kinh phí hiện vật là 417 triệu</w:t>
      </w:r>
      <w:r w:rsidR="00AA0B54" w:rsidRPr="00A15F1F">
        <w:rPr>
          <w:sz w:val="28"/>
          <w:szCs w:val="28"/>
          <w:lang w:val="es-ES_tradnl"/>
        </w:rPr>
        <w:t xml:space="preserve"> đồng. Chương trình khám sàng lọc dị tật vùng hàm mặt có </w:t>
      </w:r>
      <w:r w:rsidR="00A7335A" w:rsidRPr="00A15F1F">
        <w:rPr>
          <w:sz w:val="28"/>
          <w:szCs w:val="28"/>
          <w:lang w:val="es-ES_tradnl"/>
        </w:rPr>
        <w:t>0</w:t>
      </w:r>
      <w:r w:rsidR="00AA0B54" w:rsidRPr="00A15F1F">
        <w:rPr>
          <w:sz w:val="28"/>
          <w:szCs w:val="28"/>
          <w:lang w:val="es-ES_tradnl"/>
        </w:rPr>
        <w:t>9 đối tượng đăng ký tham gia khám và phẫu thuật, trong đó có 06 đối tượng đi khám sàng lọc là chỉ định 4 đối tượng phẫu thuật và 2 đối tượng không phẫu thuật, kinh phí phẫu thuật được Tổ chức Operation Smile Việt Nam tài trợ</w:t>
      </w:r>
      <w:r w:rsidR="0092275A" w:rsidRPr="00A15F1F">
        <w:rPr>
          <w:sz w:val="28"/>
          <w:szCs w:val="28"/>
          <w:lang w:val="es-ES_tradnl"/>
        </w:rPr>
        <w:t>.</w:t>
      </w:r>
    </w:p>
    <w:p w14:paraId="31419B46" w14:textId="5886DED4" w:rsidR="00CC29ED" w:rsidRPr="0028668C" w:rsidRDefault="00CC29ED" w:rsidP="00713A97">
      <w:pPr>
        <w:spacing w:before="60"/>
        <w:ind w:firstLine="567"/>
        <w:jc w:val="both"/>
        <w:rPr>
          <w:sz w:val="28"/>
          <w:szCs w:val="28"/>
          <w:lang w:val="es-ES_tradnl"/>
        </w:rPr>
      </w:pPr>
      <w:r w:rsidRPr="0028668C">
        <w:rPr>
          <w:sz w:val="28"/>
          <w:szCs w:val="28"/>
          <w:lang w:val="es-ES_tradnl"/>
        </w:rPr>
        <w:t xml:space="preserve">+ Quỹ </w:t>
      </w:r>
      <w:r w:rsidR="00AA0B54" w:rsidRPr="0028668C">
        <w:rPr>
          <w:sz w:val="28"/>
          <w:szCs w:val="28"/>
          <w:lang w:val="es-ES_tradnl"/>
        </w:rPr>
        <w:t>Đền ơn đáp nghĩa</w:t>
      </w:r>
      <w:r w:rsidRPr="0028668C">
        <w:rPr>
          <w:sz w:val="28"/>
          <w:szCs w:val="28"/>
          <w:lang w:val="es-ES_tradnl"/>
        </w:rPr>
        <w:t xml:space="preserve">: </w:t>
      </w:r>
      <w:r w:rsidR="00AA0B54" w:rsidRPr="0028668C">
        <w:rPr>
          <w:sz w:val="28"/>
          <w:szCs w:val="28"/>
          <w:lang w:val="es-ES_tradnl"/>
        </w:rPr>
        <w:t>Trong những năm qua, Sở Lao động</w:t>
      </w:r>
      <w:r w:rsidR="00713A08" w:rsidRPr="0028668C">
        <w:rPr>
          <w:sz w:val="28"/>
          <w:szCs w:val="28"/>
          <w:lang w:val="es-ES_tradnl"/>
        </w:rPr>
        <w:t xml:space="preserve">, </w:t>
      </w:r>
      <w:r w:rsidR="00AA0B54" w:rsidRPr="0028668C">
        <w:rPr>
          <w:sz w:val="28"/>
          <w:szCs w:val="28"/>
          <w:lang w:val="es-ES_tradnl"/>
        </w:rPr>
        <w:t>Thương binh và Xã hội đã phối hợp chặt chẽ với Ủy ban Mặt trận Tổ quốc Việt Nam tỉnh phát động lời kêu gọi ủng hộ Quỹ "Đền ơn đáp nghĩa". Nhìn chung Quỹ vẫn tiếp tục nhận được sự quan tâm ủng hộ đóng góp của các cơ quan, tổ chức, doanh nghiệp trên địa bàn tỉnh. Từ đó tạo điều kiện cho hoạt động của phong trào đền ơn đáp nghĩa được kịp thời, chu đáo. Năm 2021 Quỹ đã tổ chức viếng các đối tượng có công với cách mạng từ trần là thương binh hạng nặng. Quỹ cũng đã phối hợp trích nguồn kinh phí của Quỹ hòa chung nguồn với nguồn kinh phí của tỉnh nâng mức tặng quà từ 500.000</w:t>
      </w:r>
      <w:r w:rsidR="008B1A51" w:rsidRPr="0028668C">
        <w:rPr>
          <w:sz w:val="28"/>
          <w:szCs w:val="28"/>
          <w:lang w:val="es-ES_tradnl"/>
        </w:rPr>
        <w:t xml:space="preserve"> </w:t>
      </w:r>
      <w:r w:rsidR="00AA0B54" w:rsidRPr="0028668C">
        <w:rPr>
          <w:sz w:val="28"/>
          <w:szCs w:val="28"/>
          <w:lang w:val="es-ES_tradnl"/>
        </w:rPr>
        <w:t>đ</w:t>
      </w:r>
      <w:r w:rsidR="008B1A51" w:rsidRPr="0028668C">
        <w:rPr>
          <w:sz w:val="28"/>
          <w:szCs w:val="28"/>
          <w:lang w:val="es-ES_tradnl"/>
        </w:rPr>
        <w:t>ồng</w:t>
      </w:r>
      <w:r w:rsidR="00AA0B54" w:rsidRPr="0028668C">
        <w:rPr>
          <w:sz w:val="28"/>
          <w:szCs w:val="28"/>
          <w:lang w:val="es-ES_tradnl"/>
        </w:rPr>
        <w:t>/suất thành 1.200.000</w:t>
      </w:r>
      <w:r w:rsidR="008B1A51" w:rsidRPr="0028668C">
        <w:rPr>
          <w:sz w:val="28"/>
          <w:szCs w:val="28"/>
          <w:lang w:val="es-ES_tradnl"/>
        </w:rPr>
        <w:t xml:space="preserve"> </w:t>
      </w:r>
      <w:r w:rsidR="00AA0B54" w:rsidRPr="0028668C">
        <w:rPr>
          <w:sz w:val="28"/>
          <w:szCs w:val="28"/>
          <w:lang w:val="es-ES_tradnl"/>
        </w:rPr>
        <w:t>đ</w:t>
      </w:r>
      <w:r w:rsidR="008B1A51" w:rsidRPr="0028668C">
        <w:rPr>
          <w:sz w:val="28"/>
          <w:szCs w:val="28"/>
          <w:lang w:val="es-ES_tradnl"/>
        </w:rPr>
        <w:t>ồng</w:t>
      </w:r>
      <w:r w:rsidR="00AA0B54" w:rsidRPr="0028668C">
        <w:rPr>
          <w:sz w:val="28"/>
          <w:szCs w:val="28"/>
          <w:lang w:val="es-ES_tradnl"/>
        </w:rPr>
        <w:t>/suất quà tặng cho những Người có công tiêu biểu nhân dịp kỷ niệm 74 năm Ngày Thương binh Liệt sĩ (27/7/1947-27/7/2021). Góp phần vào trách nhiệm tri ân quan tâm, chăm sóc Người có công với cách mạng</w:t>
      </w:r>
      <w:r w:rsidR="0092275A" w:rsidRPr="0028668C">
        <w:rPr>
          <w:sz w:val="28"/>
          <w:szCs w:val="28"/>
          <w:lang w:val="es-ES_tradnl"/>
        </w:rPr>
        <w:t>.</w:t>
      </w:r>
    </w:p>
    <w:p w14:paraId="2759DA2D" w14:textId="21DF4443" w:rsidR="00CC29ED" w:rsidRPr="00A15F1F" w:rsidRDefault="00CC29ED" w:rsidP="00713A97">
      <w:pPr>
        <w:pStyle w:val="BodyTextIndent2"/>
        <w:tabs>
          <w:tab w:val="num" w:pos="1440"/>
        </w:tabs>
        <w:spacing w:before="60"/>
        <w:ind w:firstLine="567"/>
        <w:rPr>
          <w:sz w:val="28"/>
          <w:szCs w:val="28"/>
          <w:lang w:val="es-ES_tradnl"/>
        </w:rPr>
      </w:pPr>
      <w:r w:rsidRPr="0028668C">
        <w:rPr>
          <w:sz w:val="28"/>
          <w:szCs w:val="28"/>
          <w:lang w:val="es-ES_tradnl"/>
        </w:rPr>
        <w:t>+ Quỹ Bảo vệ phát triển rừng tỉnh:</w:t>
      </w:r>
      <w:r w:rsidRPr="00A15F1F">
        <w:rPr>
          <w:sz w:val="28"/>
          <w:szCs w:val="28"/>
          <w:lang w:val="es-ES_tradnl"/>
        </w:rPr>
        <w:t xml:space="preserve"> Trong những năm qua, được sự quan tâm, chỉ đạo của</w:t>
      </w:r>
      <w:r w:rsidR="00B747EA" w:rsidRPr="00A15F1F">
        <w:rPr>
          <w:sz w:val="28"/>
          <w:szCs w:val="28"/>
          <w:lang w:val="es-ES_tradnl"/>
        </w:rPr>
        <w:t xml:space="preserve"> Ủy ban nhân dân tỉnh, Hội đồng quản lý Quỹ,</w:t>
      </w:r>
      <w:r w:rsidRPr="00A15F1F">
        <w:rPr>
          <w:sz w:val="28"/>
          <w:szCs w:val="28"/>
          <w:lang w:val="es-ES_tradnl"/>
        </w:rPr>
        <w:t xml:space="preserve"> </w:t>
      </w:r>
      <w:r w:rsidR="009365D8" w:rsidRPr="00A15F1F">
        <w:rPr>
          <w:sz w:val="28"/>
          <w:szCs w:val="28"/>
          <w:lang w:val="es-ES_tradnl"/>
        </w:rPr>
        <w:t>Quỹ Bảo vệ và Phát triển rừng Việt Nam</w:t>
      </w:r>
      <w:r w:rsidRPr="00A15F1F">
        <w:rPr>
          <w:sz w:val="28"/>
          <w:szCs w:val="28"/>
          <w:lang w:val="es-ES_tradnl"/>
        </w:rPr>
        <w:t xml:space="preserve">; sự phối hợp của các Sở, ban ngành, chính quyền địa phương trong triển khai chính sách chi trả </w:t>
      </w:r>
      <w:r w:rsidR="00530780" w:rsidRPr="00A15F1F">
        <w:rPr>
          <w:sz w:val="28"/>
          <w:szCs w:val="28"/>
          <w:lang w:val="es-ES_tradnl"/>
        </w:rPr>
        <w:t xml:space="preserve">dịch vụ môi trường rừng </w:t>
      </w:r>
      <w:r w:rsidR="00530780" w:rsidRPr="00A15F1F">
        <w:rPr>
          <w:i/>
          <w:sz w:val="28"/>
          <w:szCs w:val="28"/>
          <w:lang w:val="es-ES_tradnl"/>
        </w:rPr>
        <w:t>(DVMTR)</w:t>
      </w:r>
      <w:r w:rsidRPr="00A15F1F">
        <w:rPr>
          <w:sz w:val="28"/>
          <w:szCs w:val="28"/>
          <w:lang w:val="es-ES_tradnl"/>
        </w:rPr>
        <w:t xml:space="preserve"> và sự đồng thuận của các đơn vị s</w:t>
      </w:r>
      <w:r w:rsidR="008A7FD8" w:rsidRPr="00A15F1F">
        <w:rPr>
          <w:sz w:val="28"/>
          <w:szCs w:val="28"/>
          <w:lang w:val="es-ES_tradnl"/>
        </w:rPr>
        <w:t xml:space="preserve">ử dụng, đơn vị cung ứng DVMTR, </w:t>
      </w:r>
      <w:r w:rsidR="008B1A51" w:rsidRPr="00A15F1F">
        <w:rPr>
          <w:sz w:val="28"/>
          <w:szCs w:val="28"/>
          <w:lang w:val="es-ES_tradnl"/>
        </w:rPr>
        <w:t>N</w:t>
      </w:r>
      <w:r w:rsidRPr="00A15F1F">
        <w:rPr>
          <w:sz w:val="28"/>
          <w:szCs w:val="28"/>
          <w:lang w:val="es-ES_tradnl"/>
        </w:rPr>
        <w:t>hân dân trên địa bàn tỉnh trong việc thự</w:t>
      </w:r>
      <w:r w:rsidR="009365D8" w:rsidRPr="00A15F1F">
        <w:rPr>
          <w:sz w:val="28"/>
          <w:szCs w:val="28"/>
          <w:lang w:val="es-ES_tradnl"/>
        </w:rPr>
        <w:t>c thi chính sách chi trả DVMTR. Đ</w:t>
      </w:r>
      <w:r w:rsidRPr="00A15F1F">
        <w:rPr>
          <w:sz w:val="28"/>
          <w:szCs w:val="28"/>
          <w:lang w:val="es-ES_tradnl"/>
        </w:rPr>
        <w:t xml:space="preserve">ến nay, Quỹ Bảo vệ và Phát triển rừng tỉnh đã thực hiện tốt các nhiệm vụ được </w:t>
      </w:r>
      <w:r w:rsidR="00DD76D8" w:rsidRPr="00A15F1F">
        <w:rPr>
          <w:sz w:val="28"/>
          <w:szCs w:val="28"/>
          <w:lang w:val="es-ES_tradnl"/>
        </w:rPr>
        <w:t>Ủy ban nhân dân</w:t>
      </w:r>
      <w:r w:rsidRPr="00A15F1F">
        <w:rPr>
          <w:sz w:val="28"/>
          <w:szCs w:val="28"/>
          <w:lang w:val="es-ES_tradnl"/>
        </w:rPr>
        <w:t xml:space="preserve"> tỉnh giao, mang lại những kết quả tích cực trong công tác quản lý, bảo vệ và phát triển rừng trên địa bàn tỉnh như: góp phần nâng cao nhận thức, trách nhiệm và quyền lợi của người dân trong công tác quản lý bảo vệ rừng trên địa bàn tỉnh; tạo nguồn lực tài chính bền vững để đầu tư cho công tác quản lý bảo vệ và phát triển rừng của các chủ rừng, đời sống của người làm nghề rừng được cải thiện rõ rệt, đặc biệt là cộng đồng dân cư, người dân sống trong rừng, gần rừng, vùng sâu, vùng xa, vùng đặc biệt khó khăn. Qua đó</w:t>
      </w:r>
      <w:r w:rsidR="006A39A3" w:rsidRPr="00A15F1F">
        <w:rPr>
          <w:sz w:val="28"/>
          <w:szCs w:val="28"/>
          <w:lang w:val="es-ES_tradnl"/>
        </w:rPr>
        <w:t>,</w:t>
      </w:r>
      <w:r w:rsidRPr="00A15F1F">
        <w:rPr>
          <w:sz w:val="28"/>
          <w:szCs w:val="28"/>
          <w:lang w:val="es-ES_tradnl"/>
        </w:rPr>
        <w:t xml:space="preserve"> đã huy động và khuyến khích người dân tích cực tham gia vào công tác quản lý bảo vệ rừng, góp phần tạo thêm việc làm, tăng thu nhập cho người dân tham gia trực tiếp bảo vệ rừng. </w:t>
      </w:r>
      <w:r w:rsidR="0087021E" w:rsidRPr="00A15F1F">
        <w:rPr>
          <w:sz w:val="28"/>
          <w:szCs w:val="28"/>
          <w:lang w:val="es-ES_tradnl"/>
        </w:rPr>
        <w:t>Đ</w:t>
      </w:r>
      <w:r w:rsidR="00560314" w:rsidRPr="00A15F1F">
        <w:rPr>
          <w:sz w:val="28"/>
          <w:szCs w:val="28"/>
          <w:lang w:val="es-ES_tradnl"/>
        </w:rPr>
        <w:t>ến ngày 30 tháng 9 năm 2021,</w:t>
      </w:r>
      <w:r w:rsidRPr="00A15F1F">
        <w:rPr>
          <w:sz w:val="28"/>
          <w:szCs w:val="28"/>
          <w:lang w:val="es-ES_tradnl"/>
        </w:rPr>
        <w:t xml:space="preserve"> tiền chi trả DVMTR đã đảm bảo</w:t>
      </w:r>
      <w:r w:rsidR="00DD76D8" w:rsidRPr="00A15F1F">
        <w:rPr>
          <w:sz w:val="28"/>
          <w:szCs w:val="28"/>
          <w:lang w:val="es-ES_tradnl"/>
        </w:rPr>
        <w:t xml:space="preserve"> công tác quản lý, bảo vệ rừng </w:t>
      </w:r>
      <w:r w:rsidRPr="00A15F1F">
        <w:rPr>
          <w:sz w:val="28"/>
          <w:szCs w:val="28"/>
          <w:lang w:val="es-ES_tradnl"/>
        </w:rPr>
        <w:t>khoảng 38</w:t>
      </w:r>
      <w:r w:rsidR="00B747EA" w:rsidRPr="00A15F1F">
        <w:rPr>
          <w:sz w:val="28"/>
          <w:szCs w:val="28"/>
          <w:lang w:val="es-ES_tradnl"/>
        </w:rPr>
        <w:t>4</w:t>
      </w:r>
      <w:r w:rsidRPr="00A15F1F">
        <w:rPr>
          <w:sz w:val="28"/>
          <w:szCs w:val="28"/>
          <w:lang w:val="es-ES_tradnl"/>
        </w:rPr>
        <w:t>.</w:t>
      </w:r>
      <w:r w:rsidR="00B747EA" w:rsidRPr="00A15F1F">
        <w:rPr>
          <w:sz w:val="28"/>
          <w:szCs w:val="28"/>
          <w:lang w:val="es-ES_tradnl"/>
        </w:rPr>
        <w:t>000</w:t>
      </w:r>
      <w:r w:rsidRPr="00A15F1F">
        <w:rPr>
          <w:sz w:val="28"/>
          <w:szCs w:val="28"/>
          <w:lang w:val="es-ES_tradnl"/>
        </w:rPr>
        <w:t xml:space="preserve"> ha</w:t>
      </w:r>
      <w:r w:rsidRPr="0028668C">
        <w:rPr>
          <w:sz w:val="28"/>
          <w:szCs w:val="28"/>
          <w:lang w:val="nb-NO"/>
        </w:rPr>
        <w:t xml:space="preserve"> rừng</w:t>
      </w:r>
      <w:r w:rsidR="00DD76D8" w:rsidRPr="0028668C">
        <w:rPr>
          <w:sz w:val="28"/>
          <w:szCs w:val="28"/>
          <w:lang w:val="nb-NO"/>
        </w:rPr>
        <w:t xml:space="preserve">, </w:t>
      </w:r>
      <w:r w:rsidR="00B747EA" w:rsidRPr="0028668C">
        <w:rPr>
          <w:sz w:val="28"/>
          <w:szCs w:val="28"/>
          <w:lang w:val="nb-NO"/>
        </w:rPr>
        <w:t>giảm 1% so với năm 2020</w:t>
      </w:r>
      <w:r w:rsidRPr="0028668C">
        <w:rPr>
          <w:sz w:val="28"/>
          <w:szCs w:val="28"/>
          <w:lang w:val="nb-NO"/>
        </w:rPr>
        <w:t xml:space="preserve"> </w:t>
      </w:r>
      <w:r w:rsidRPr="0028668C">
        <w:rPr>
          <w:i/>
          <w:sz w:val="28"/>
          <w:szCs w:val="28"/>
          <w:lang w:val="nb-NO"/>
        </w:rPr>
        <w:t>(</w:t>
      </w:r>
      <w:r w:rsidRPr="0028668C">
        <w:rPr>
          <w:rFonts w:hint="eastAsia"/>
          <w:i/>
          <w:sz w:val="28"/>
          <w:szCs w:val="28"/>
          <w:lang w:val="nb-NO"/>
        </w:rPr>
        <w:t>đ</w:t>
      </w:r>
      <w:r w:rsidRPr="0028668C">
        <w:rPr>
          <w:i/>
          <w:sz w:val="28"/>
          <w:szCs w:val="28"/>
          <w:lang w:val="nb-NO"/>
        </w:rPr>
        <w:t xml:space="preserve">ạt khoảng </w:t>
      </w:r>
      <w:r w:rsidRPr="0028668C">
        <w:rPr>
          <w:i/>
          <w:sz w:val="28"/>
          <w:szCs w:val="28"/>
          <w:lang w:val="nb-NO"/>
        </w:rPr>
        <w:lastRenderedPageBreak/>
        <w:t>6</w:t>
      </w:r>
      <w:r w:rsidR="00B747EA" w:rsidRPr="0028668C">
        <w:rPr>
          <w:i/>
          <w:sz w:val="28"/>
          <w:szCs w:val="28"/>
          <w:lang w:val="nb-NO"/>
        </w:rPr>
        <w:t>7</w:t>
      </w:r>
      <w:r w:rsidRPr="0028668C">
        <w:rPr>
          <w:i/>
          <w:sz w:val="28"/>
          <w:szCs w:val="28"/>
          <w:lang w:val="nb-NO"/>
        </w:rPr>
        <w:t>,</w:t>
      </w:r>
      <w:r w:rsidR="00B747EA" w:rsidRPr="0028668C">
        <w:rPr>
          <w:i/>
          <w:sz w:val="28"/>
          <w:szCs w:val="28"/>
          <w:lang w:val="nb-NO"/>
        </w:rPr>
        <w:t>3</w:t>
      </w:r>
      <w:r w:rsidRPr="0028668C">
        <w:rPr>
          <w:i/>
          <w:sz w:val="28"/>
          <w:szCs w:val="28"/>
          <w:lang w:val="nb-NO"/>
        </w:rPr>
        <w:t>% tổng diện t</w:t>
      </w:r>
      <w:r w:rsidRPr="0028668C">
        <w:rPr>
          <w:rFonts w:hint="eastAsia"/>
          <w:i/>
          <w:sz w:val="28"/>
          <w:szCs w:val="28"/>
          <w:lang w:val="nb-NO"/>
        </w:rPr>
        <w:t>í</w:t>
      </w:r>
      <w:r w:rsidRPr="0028668C">
        <w:rPr>
          <w:i/>
          <w:sz w:val="28"/>
          <w:szCs w:val="28"/>
          <w:lang w:val="nb-NO"/>
        </w:rPr>
        <w:t>ch rừng to</w:t>
      </w:r>
      <w:r w:rsidRPr="0028668C">
        <w:rPr>
          <w:rFonts w:hint="eastAsia"/>
          <w:i/>
          <w:sz w:val="28"/>
          <w:szCs w:val="28"/>
          <w:lang w:val="nb-NO"/>
        </w:rPr>
        <w:t>à</w:t>
      </w:r>
      <w:r w:rsidRPr="0028668C">
        <w:rPr>
          <w:i/>
          <w:sz w:val="28"/>
          <w:szCs w:val="28"/>
          <w:lang w:val="nb-NO"/>
        </w:rPr>
        <w:t>n tỉnh</w:t>
      </w:r>
      <w:r w:rsidR="00B747EA" w:rsidRPr="0028668C">
        <w:rPr>
          <w:i/>
          <w:sz w:val="28"/>
          <w:szCs w:val="28"/>
          <w:lang w:val="nb-NO"/>
        </w:rPr>
        <w:t>, không tính diện tích cây cao su, đặc sản</w:t>
      </w:r>
      <w:r w:rsidRPr="0028668C">
        <w:rPr>
          <w:i/>
          <w:sz w:val="28"/>
          <w:szCs w:val="28"/>
          <w:lang w:val="nb-NO"/>
        </w:rPr>
        <w:t xml:space="preserve">), </w:t>
      </w:r>
      <w:r w:rsidRPr="0028668C">
        <w:rPr>
          <w:sz w:val="28"/>
          <w:szCs w:val="28"/>
          <w:lang w:val="nb-NO"/>
        </w:rPr>
        <w:t xml:space="preserve">giảm gánh nặng cho ngân sách </w:t>
      </w:r>
      <w:r w:rsidRPr="0028668C">
        <w:rPr>
          <w:rFonts w:eastAsia="Calibri"/>
          <w:sz w:val="28"/>
          <w:szCs w:val="28"/>
          <w:shd w:val="clear" w:color="auto" w:fill="FFFFFF"/>
          <w:lang w:val="nb-NO"/>
        </w:rPr>
        <w:t>nhà nước.</w:t>
      </w:r>
    </w:p>
    <w:p w14:paraId="3D13B402" w14:textId="51701D18" w:rsidR="00CC29ED" w:rsidRPr="00A15F1F" w:rsidRDefault="00CC29ED" w:rsidP="00713A97">
      <w:pPr>
        <w:spacing w:before="60"/>
        <w:ind w:firstLine="567"/>
        <w:jc w:val="both"/>
        <w:rPr>
          <w:sz w:val="28"/>
          <w:szCs w:val="28"/>
          <w:lang w:val="es-ES_tradnl"/>
        </w:rPr>
      </w:pPr>
      <w:r w:rsidRPr="00A15F1F">
        <w:rPr>
          <w:sz w:val="28"/>
          <w:szCs w:val="28"/>
          <w:lang w:val="es-ES_tradnl"/>
        </w:rPr>
        <w:t xml:space="preserve">+ </w:t>
      </w:r>
      <w:r w:rsidR="0092275A" w:rsidRPr="00A15F1F">
        <w:rPr>
          <w:sz w:val="28"/>
          <w:szCs w:val="28"/>
          <w:lang w:val="es-ES_tradnl"/>
        </w:rPr>
        <w:t xml:space="preserve">Quỹ </w:t>
      </w:r>
      <w:r w:rsidR="004F6441" w:rsidRPr="00A15F1F">
        <w:rPr>
          <w:sz w:val="28"/>
          <w:szCs w:val="28"/>
          <w:lang w:val="es-ES_tradnl"/>
        </w:rPr>
        <w:t xml:space="preserve">Khuyến học: Được sự quan tâm chỉ đạo của Tỉnh ủy, của </w:t>
      </w:r>
      <w:r w:rsidR="00614304" w:rsidRPr="00A15F1F">
        <w:rPr>
          <w:sz w:val="28"/>
          <w:szCs w:val="28"/>
          <w:lang w:val="es-ES_tradnl"/>
        </w:rPr>
        <w:t>Ủy ban nhân dân</w:t>
      </w:r>
      <w:r w:rsidR="004F6441" w:rsidRPr="00A15F1F">
        <w:rPr>
          <w:sz w:val="28"/>
          <w:szCs w:val="28"/>
          <w:lang w:val="es-ES_tradnl"/>
        </w:rPr>
        <w:t xml:space="preserve"> tỉnh, </w:t>
      </w:r>
      <w:r w:rsidR="00614304" w:rsidRPr="00A15F1F">
        <w:rPr>
          <w:sz w:val="28"/>
          <w:szCs w:val="28"/>
          <w:lang w:val="es-ES_tradnl"/>
        </w:rPr>
        <w:t>Ủy ban Mặt trận Tổ quốc Việt Nam</w:t>
      </w:r>
      <w:r w:rsidR="004F6441" w:rsidRPr="00A15F1F">
        <w:rPr>
          <w:sz w:val="28"/>
          <w:szCs w:val="28"/>
          <w:lang w:val="es-ES_tradnl"/>
        </w:rPr>
        <w:t xml:space="preserve"> tỉnh</w:t>
      </w:r>
      <w:r w:rsidR="003D1DC5" w:rsidRPr="00A15F1F">
        <w:rPr>
          <w:sz w:val="28"/>
          <w:szCs w:val="28"/>
          <w:lang w:val="es-ES_tradnl"/>
        </w:rPr>
        <w:t xml:space="preserve"> và</w:t>
      </w:r>
      <w:r w:rsidR="004F6441" w:rsidRPr="00A15F1F">
        <w:rPr>
          <w:sz w:val="28"/>
          <w:szCs w:val="28"/>
          <w:lang w:val="es-ES_tradnl"/>
        </w:rPr>
        <w:t xml:space="preserve"> sự phối hợp các sở, ngành liên quan về công tác của Quỹ; Hoạt động của Quỹ đúng theo điều khoản trong quy chế được </w:t>
      </w:r>
      <w:r w:rsidR="00614304" w:rsidRPr="00A15F1F">
        <w:rPr>
          <w:sz w:val="28"/>
          <w:szCs w:val="28"/>
          <w:lang w:val="es-ES_tradnl"/>
        </w:rPr>
        <w:t>Ủy ban nhân dân</w:t>
      </w:r>
      <w:r w:rsidR="004F6441" w:rsidRPr="00A15F1F">
        <w:rPr>
          <w:sz w:val="28"/>
          <w:szCs w:val="28"/>
          <w:lang w:val="es-ES_tradnl"/>
        </w:rPr>
        <w:t xml:space="preserve"> tỉnh phê duyệt</w:t>
      </w:r>
      <w:r w:rsidR="00614304" w:rsidRPr="00A15F1F">
        <w:rPr>
          <w:sz w:val="28"/>
          <w:szCs w:val="28"/>
          <w:lang w:val="es-ES_tradnl"/>
        </w:rPr>
        <w:t xml:space="preserve">; </w:t>
      </w:r>
      <w:r w:rsidR="004F6441" w:rsidRPr="00A15F1F">
        <w:rPr>
          <w:sz w:val="28"/>
          <w:szCs w:val="28"/>
          <w:lang w:val="es-ES_tradnl"/>
        </w:rPr>
        <w:t>Quản lý Quỹ chặt chẽ đúng theo quy chế và quy định của pháp luật không để xảy ra tiêu cực, lãng phí trong sử dụng nguồn Quỹ.</w:t>
      </w:r>
      <w:r w:rsidR="00614304" w:rsidRPr="00A15F1F">
        <w:rPr>
          <w:sz w:val="28"/>
          <w:szCs w:val="28"/>
          <w:lang w:val="es-ES_tradnl"/>
        </w:rPr>
        <w:t xml:space="preserve"> </w:t>
      </w:r>
      <w:r w:rsidR="004F6441" w:rsidRPr="00A15F1F">
        <w:rPr>
          <w:sz w:val="28"/>
          <w:szCs w:val="28"/>
          <w:lang w:val="es-ES_tradnl"/>
        </w:rPr>
        <w:t>Có một số Công ty, doanh nghiệp tài trợ ổn định, lâu dài cho Hội Khuyến học tỉnh như: Công ty TNHH MTV Xổ Số Kiến thiết tỉnh Kon Tum</w:t>
      </w:r>
      <w:r w:rsidR="00614304" w:rsidRPr="0028668C">
        <w:rPr>
          <w:rStyle w:val="FootnoteReference"/>
          <w:sz w:val="28"/>
          <w:szCs w:val="28"/>
        </w:rPr>
        <w:footnoteReference w:id="8"/>
      </w:r>
      <w:r w:rsidR="004F6441" w:rsidRPr="00A15F1F">
        <w:rPr>
          <w:sz w:val="28"/>
          <w:szCs w:val="28"/>
          <w:lang w:val="es-ES_tradnl"/>
        </w:rPr>
        <w:t>, Tập Đoàn Viễn thông Quân Đội Viettel</w:t>
      </w:r>
      <w:r w:rsidR="00614304" w:rsidRPr="0028668C">
        <w:rPr>
          <w:rStyle w:val="FootnoteReference"/>
          <w:sz w:val="28"/>
          <w:szCs w:val="28"/>
        </w:rPr>
        <w:footnoteReference w:id="9"/>
      </w:r>
      <w:r w:rsidR="004F6441" w:rsidRPr="00A15F1F">
        <w:rPr>
          <w:sz w:val="28"/>
          <w:szCs w:val="28"/>
          <w:lang w:val="es-ES_tradnl"/>
        </w:rPr>
        <w:t>, Công ty TNHH Phú Mỹ Hưng</w:t>
      </w:r>
      <w:r w:rsidR="00614304" w:rsidRPr="0028668C">
        <w:rPr>
          <w:rStyle w:val="FootnoteReference"/>
          <w:sz w:val="28"/>
          <w:szCs w:val="28"/>
        </w:rPr>
        <w:footnoteReference w:id="10"/>
      </w:r>
      <w:r w:rsidR="00614304" w:rsidRPr="00A15F1F">
        <w:rPr>
          <w:sz w:val="28"/>
          <w:szCs w:val="28"/>
          <w:lang w:val="es-ES_tradnl"/>
        </w:rPr>
        <w:t>,</w:t>
      </w:r>
      <w:r w:rsidR="00BA4917" w:rsidRPr="00A15F1F">
        <w:rPr>
          <w:sz w:val="28"/>
          <w:szCs w:val="28"/>
          <w:lang w:val="es-ES_tradnl"/>
        </w:rPr>
        <w:t xml:space="preserve"> và các nguồn tài trợ của Tổ chức phi chính phủ nước ngoài,</w:t>
      </w:r>
      <w:r w:rsidR="00614304" w:rsidRPr="00A15F1F">
        <w:rPr>
          <w:sz w:val="28"/>
          <w:szCs w:val="28"/>
          <w:lang w:val="es-ES_tradnl"/>
        </w:rPr>
        <w:t xml:space="preserve"> qua đó tạo điều kiện để </w:t>
      </w:r>
      <w:r w:rsidR="004F6441" w:rsidRPr="00A15F1F">
        <w:rPr>
          <w:sz w:val="28"/>
          <w:szCs w:val="28"/>
          <w:lang w:val="es-ES_tradnl"/>
        </w:rPr>
        <w:t>Quỹ đã phát huy tác dụng khuyến khích và hỗ trợ học sinh nghèo vươn lên trong học tập và khuyến tài cho cá nhân có thành tích xuất sắc trong học tập và công việc.</w:t>
      </w:r>
    </w:p>
    <w:p w14:paraId="45D1BAE7" w14:textId="77777777" w:rsidR="00F14C9A" w:rsidRPr="00A15F1F" w:rsidRDefault="00CC29ED" w:rsidP="00713A97">
      <w:pPr>
        <w:pStyle w:val="BodyTextIndent"/>
        <w:spacing w:before="60"/>
        <w:ind w:firstLine="567"/>
        <w:rPr>
          <w:sz w:val="28"/>
          <w:szCs w:val="28"/>
          <w:lang w:val="es-ES_tradnl"/>
        </w:rPr>
      </w:pPr>
      <w:r w:rsidRPr="00A15F1F">
        <w:rPr>
          <w:sz w:val="28"/>
          <w:szCs w:val="28"/>
          <w:lang w:val="es-ES_tradnl"/>
        </w:rPr>
        <w:t xml:space="preserve">+ Quỹ </w:t>
      </w:r>
      <w:r w:rsidR="00F14C9A" w:rsidRPr="00A15F1F">
        <w:rPr>
          <w:sz w:val="28"/>
          <w:szCs w:val="28"/>
          <w:lang w:val="es-ES_tradnl"/>
        </w:rPr>
        <w:t>Hỗ trợ nông dân: Trong năm 2021, Quỹ được Ngân sách tỉnh cấp bổ sung 1.000 triệu đồng, Quỹ đã triển khai thực hiện 02 dự án: (1) Dự án “Trồng cây ăn trái” (10 ha chuối tiêu hồng) tại xã Đăk Hring, huyện Đăk Hà, có 5 hộ vay và (2) Dự án “Chăn nuôi heo sọc dưa” tại Thị trấn Đăk Rve, huyện Kon Rẫy, có 10 hộ vay.</w:t>
      </w:r>
    </w:p>
    <w:p w14:paraId="578C0722" w14:textId="5547C9C8" w:rsidR="00CC29ED" w:rsidRPr="00A15F1F" w:rsidRDefault="00F14C9A" w:rsidP="00713A97">
      <w:pPr>
        <w:pStyle w:val="BodyTextIndent"/>
        <w:spacing w:before="60"/>
        <w:ind w:firstLine="567"/>
        <w:rPr>
          <w:sz w:val="28"/>
          <w:szCs w:val="28"/>
          <w:lang w:val="es-ES_tradnl"/>
        </w:rPr>
      </w:pPr>
      <w:r w:rsidRPr="00A15F1F">
        <w:rPr>
          <w:sz w:val="28"/>
          <w:szCs w:val="28"/>
          <w:lang w:val="es-ES_tradnl"/>
        </w:rPr>
        <w:t>+ Quỹ An ninh trật tự: Sau 09 năm đi vào hoạt động, Quỹ đã phát huy được hiệu quả tích cực trong công tác quản lý, giáo dục, giúp đỡ người chấp hành xong án phạt tù trở về địa phương, giảm tỷ lệ tái phạm. Đến nay</w:t>
      </w:r>
      <w:r w:rsidR="00560314" w:rsidRPr="00A15F1F">
        <w:rPr>
          <w:sz w:val="28"/>
          <w:szCs w:val="28"/>
          <w:lang w:val="es-ES_tradnl"/>
        </w:rPr>
        <w:t xml:space="preserve">, </w:t>
      </w:r>
      <w:r w:rsidRPr="00A15F1F">
        <w:rPr>
          <w:sz w:val="28"/>
          <w:szCs w:val="28"/>
          <w:lang w:val="es-ES_tradnl"/>
        </w:rPr>
        <w:t>Quỹ đã giải ngân cho 73 đối tượng là người chấp hành xong án phạt tù về cư trú tại địa phương và người tích cực tham gia vào công tác đấu tranh, phòng chống tội phạm bảo vệ an ninh</w:t>
      </w:r>
      <w:r w:rsidR="00CC29ED" w:rsidRPr="00A15F1F">
        <w:rPr>
          <w:sz w:val="28"/>
          <w:szCs w:val="28"/>
          <w:lang w:val="es-ES_tradnl"/>
        </w:rPr>
        <w:t xml:space="preserve"> </w:t>
      </w:r>
      <w:r w:rsidRPr="00A15F1F">
        <w:rPr>
          <w:sz w:val="28"/>
          <w:szCs w:val="28"/>
          <w:lang w:val="es-ES_tradnl"/>
        </w:rPr>
        <w:t>trật tự tại địa phương có hoàn cảnh khó khăn, mỗi đối tượng 20 triệu đồng</w:t>
      </w:r>
      <w:r w:rsidR="005C5981" w:rsidRPr="00A15F1F">
        <w:rPr>
          <w:sz w:val="28"/>
          <w:szCs w:val="28"/>
          <w:lang w:val="es-ES_tradnl"/>
        </w:rPr>
        <w:t>. Đa số các đối tượng sử dụng vốn vay đúng cam kết, làm ăn có hiệu quả, nhiều trường hợp xin gia hạn vốn vay để tiếp tục tái sản xuất phát triển kinh tế gia đình, kinh tế xã hội ở địa phương, tham gia tích cực vào công tác giữ gìn an ninh trật tự địa phương.</w:t>
      </w:r>
    </w:p>
    <w:p w14:paraId="55D3E2B7" w14:textId="6E8DBD82" w:rsidR="00BD0328" w:rsidRPr="0028668C" w:rsidRDefault="00BD0328" w:rsidP="00713A97">
      <w:pPr>
        <w:pStyle w:val="BodyTextIndent"/>
        <w:spacing w:before="60"/>
        <w:ind w:firstLine="567"/>
        <w:rPr>
          <w:sz w:val="28"/>
          <w:szCs w:val="28"/>
          <w:lang w:val="nl-NL"/>
        </w:rPr>
      </w:pPr>
      <w:r w:rsidRPr="00A15F1F">
        <w:rPr>
          <w:sz w:val="28"/>
          <w:szCs w:val="28"/>
          <w:lang w:val="es-ES_tradnl"/>
        </w:rPr>
        <w:t xml:space="preserve">+ Quỹ Nạn nhân chất độc màu da cam/dioxin: Trong </w:t>
      </w:r>
      <w:r w:rsidR="0087021E" w:rsidRPr="00A15F1F">
        <w:rPr>
          <w:sz w:val="28"/>
          <w:szCs w:val="28"/>
          <w:lang w:val="es-ES_tradnl"/>
        </w:rPr>
        <w:t>9</w:t>
      </w:r>
      <w:r w:rsidRPr="00A15F1F">
        <w:rPr>
          <w:sz w:val="28"/>
          <w:szCs w:val="28"/>
          <w:lang w:val="es-ES_tradnl"/>
        </w:rPr>
        <w:t xml:space="preserve"> tháng đầu năm 2021, Quỹ đã kêu gọi được 200 lượt tập thể, cá nhân và các nhà hảo tâm với tinh thần </w:t>
      </w:r>
      <w:r w:rsidRPr="00A15F1F">
        <w:rPr>
          <w:b/>
          <w:bCs/>
          <w:i/>
          <w:iCs/>
          <w:sz w:val="28"/>
          <w:szCs w:val="28"/>
          <w:lang w:val="es-ES_tradnl"/>
        </w:rPr>
        <w:t>“Đoàn kết – nghĩa tình – Trách nhiệm vì nạn nhân chất độc màu da cam”</w:t>
      </w:r>
      <w:r w:rsidRPr="00A15F1F">
        <w:rPr>
          <w:sz w:val="28"/>
          <w:szCs w:val="28"/>
          <w:lang w:val="es-ES_tradnl"/>
        </w:rPr>
        <w:t xml:space="preserve"> ủng hộ số tiền gần 4</w:t>
      </w:r>
      <w:r w:rsidR="0087021E" w:rsidRPr="00A15F1F">
        <w:rPr>
          <w:sz w:val="28"/>
          <w:szCs w:val="28"/>
          <w:lang w:val="es-ES_tradnl"/>
        </w:rPr>
        <w:t>4</w:t>
      </w:r>
      <w:r w:rsidRPr="00A15F1F">
        <w:rPr>
          <w:sz w:val="28"/>
          <w:szCs w:val="28"/>
          <w:lang w:val="es-ES_tradnl"/>
        </w:rPr>
        <w:t>0 triệu đồng; chi cho công tác chăm sóc, giúp đỡ nạn nhân chất độc màu da cam số tiền 116 triệu đồng</w:t>
      </w:r>
      <w:r w:rsidR="00A927D9" w:rsidRPr="00A15F1F">
        <w:rPr>
          <w:sz w:val="28"/>
          <w:szCs w:val="28"/>
          <w:lang w:val="es-ES_tradnl"/>
        </w:rPr>
        <w:t>.</w:t>
      </w:r>
    </w:p>
    <w:p w14:paraId="75D4A21A" w14:textId="5DD2904A" w:rsidR="00CC29ED" w:rsidRPr="0028668C" w:rsidRDefault="00CC29ED" w:rsidP="00713A97">
      <w:pPr>
        <w:spacing w:before="60"/>
        <w:ind w:firstLine="567"/>
        <w:jc w:val="both"/>
        <w:rPr>
          <w:sz w:val="28"/>
          <w:szCs w:val="28"/>
          <w:lang w:val="es-ES_tradnl"/>
        </w:rPr>
      </w:pPr>
      <w:r w:rsidRPr="0028668C">
        <w:rPr>
          <w:sz w:val="28"/>
          <w:szCs w:val="28"/>
          <w:lang w:val="es-ES_tradnl"/>
        </w:rPr>
        <w:t xml:space="preserve">+ Một số Quỹ tài chính thực hiện mục tiêu hỗ trợ người nghèo, người yếu thế trong xã hội </w:t>
      </w:r>
      <w:r w:rsidRPr="0028668C">
        <w:rPr>
          <w:i/>
          <w:sz w:val="28"/>
          <w:szCs w:val="28"/>
          <w:lang w:val="es-ES_tradnl"/>
        </w:rPr>
        <w:t xml:space="preserve">(Quỹ </w:t>
      </w:r>
      <w:r w:rsidR="00B27DD8" w:rsidRPr="0028668C">
        <w:rPr>
          <w:i/>
          <w:sz w:val="28"/>
          <w:szCs w:val="28"/>
          <w:lang w:val="es-ES_tradnl"/>
        </w:rPr>
        <w:t>khám chữa bệnh người nghèo</w:t>
      </w:r>
      <w:r w:rsidRPr="0028668C">
        <w:rPr>
          <w:i/>
          <w:sz w:val="28"/>
          <w:szCs w:val="28"/>
          <w:lang w:val="es-ES_tradnl"/>
        </w:rPr>
        <w:t>, Quỹ cứu trợ, Quỹ vì người khuyết tật và trẻ em mồ côi…)</w:t>
      </w:r>
      <w:r w:rsidRPr="0028668C">
        <w:rPr>
          <w:sz w:val="28"/>
          <w:szCs w:val="28"/>
          <w:lang w:val="es-ES_tradnl"/>
        </w:rPr>
        <w:t xml:space="preserve"> đã chủ động, tích cực huy động thêm nguồn lực đóng góp của cộng đồng.</w:t>
      </w:r>
    </w:p>
    <w:p w14:paraId="795BB874" w14:textId="77777777" w:rsidR="00CC29ED" w:rsidRPr="0028668C" w:rsidRDefault="00CC29ED" w:rsidP="00713A97">
      <w:pPr>
        <w:spacing w:before="60"/>
        <w:ind w:firstLine="567"/>
        <w:jc w:val="both"/>
        <w:rPr>
          <w:sz w:val="28"/>
          <w:szCs w:val="28"/>
          <w:lang w:val="es-ES_tradnl"/>
        </w:rPr>
      </w:pPr>
      <w:r w:rsidRPr="0028668C">
        <w:rPr>
          <w:sz w:val="28"/>
          <w:szCs w:val="28"/>
          <w:lang w:val="es-ES_tradnl"/>
        </w:rPr>
        <w:lastRenderedPageBreak/>
        <w:t>- Công tác báo cáo tài chính hằng năm của các Quỹ thực hiện đảm bảo theo quy định hiện hành.</w:t>
      </w:r>
    </w:p>
    <w:p w14:paraId="4EC02177" w14:textId="77777777" w:rsidR="00CC29ED" w:rsidRPr="0028668C" w:rsidRDefault="00CC29ED" w:rsidP="00713A97">
      <w:pPr>
        <w:spacing w:before="60"/>
        <w:ind w:firstLine="567"/>
        <w:jc w:val="both"/>
        <w:rPr>
          <w:b/>
          <w:sz w:val="28"/>
          <w:szCs w:val="28"/>
          <w:lang w:val="es-ES_tradnl"/>
        </w:rPr>
      </w:pPr>
      <w:r w:rsidRPr="0028668C">
        <w:rPr>
          <w:b/>
          <w:sz w:val="28"/>
          <w:szCs w:val="28"/>
          <w:lang w:val="es-ES_tradnl"/>
        </w:rPr>
        <w:t>2</w:t>
      </w:r>
      <w:r w:rsidRPr="0028668C">
        <w:rPr>
          <w:b/>
          <w:sz w:val="28"/>
          <w:szCs w:val="28"/>
          <w:lang w:val="vi-VN"/>
        </w:rPr>
        <w:t>.</w:t>
      </w:r>
      <w:r w:rsidRPr="0028668C">
        <w:rPr>
          <w:b/>
          <w:sz w:val="28"/>
          <w:szCs w:val="28"/>
          <w:lang w:val="es-ES_tradnl"/>
        </w:rPr>
        <w:t xml:space="preserve"> Hạn chế, yếu kém</w:t>
      </w:r>
    </w:p>
    <w:p w14:paraId="3BD0BEA7" w14:textId="77777777" w:rsidR="00CC29ED" w:rsidRPr="0028668C" w:rsidRDefault="00CC29ED" w:rsidP="00713A97">
      <w:pPr>
        <w:spacing w:before="60"/>
        <w:ind w:firstLine="567"/>
        <w:jc w:val="both"/>
        <w:rPr>
          <w:sz w:val="28"/>
          <w:szCs w:val="28"/>
          <w:lang w:val="es-ES_tradnl"/>
        </w:rPr>
      </w:pPr>
      <w:r w:rsidRPr="0028668C">
        <w:rPr>
          <w:sz w:val="28"/>
          <w:szCs w:val="28"/>
          <w:lang w:val="es-ES_tradnl"/>
        </w:rPr>
        <w:t>- Hầu hết các Quỹ tài chính nhà nước trên địa bàn tỉnh có vốn điều lệ thấp, quy mô nhỏ, nguồn huy động từ xã hội hóa còn hạn chế; hoạt động chủ yếu dựa vào vốn điều lệ, vốn ngân sách hỗ trợ nên hoạt động của một số Quỹ chưa đạt hiệu quả cao so với mục đích, yêu cầu đề ra.</w:t>
      </w:r>
    </w:p>
    <w:p w14:paraId="522EE023" w14:textId="77777777" w:rsidR="00CC29ED" w:rsidRPr="0028668C" w:rsidRDefault="00CC29ED" w:rsidP="00713A97">
      <w:pPr>
        <w:spacing w:before="60"/>
        <w:ind w:firstLine="567"/>
        <w:jc w:val="both"/>
        <w:rPr>
          <w:sz w:val="28"/>
          <w:szCs w:val="28"/>
          <w:lang w:val="vi-VN"/>
        </w:rPr>
      </w:pPr>
      <w:r w:rsidRPr="0028668C">
        <w:rPr>
          <w:sz w:val="28"/>
          <w:szCs w:val="28"/>
          <w:lang w:val="es-ES_tradnl"/>
        </w:rPr>
        <w:t>-</w:t>
      </w:r>
      <w:r w:rsidRPr="0028668C">
        <w:rPr>
          <w:sz w:val="28"/>
          <w:szCs w:val="28"/>
          <w:lang w:val="vi-VN"/>
        </w:rPr>
        <w:t xml:space="preserve"> </w:t>
      </w:r>
      <w:r w:rsidRPr="0028668C">
        <w:rPr>
          <w:sz w:val="28"/>
          <w:szCs w:val="28"/>
          <w:lang w:val="es-ES_tradnl"/>
        </w:rPr>
        <w:t>V</w:t>
      </w:r>
      <w:r w:rsidRPr="0028668C">
        <w:rPr>
          <w:sz w:val="28"/>
          <w:szCs w:val="28"/>
          <w:lang w:val="vi-VN"/>
        </w:rPr>
        <w:t>ới mô hình tổ chức và hoạt động là Hội đồng quản lý, Ban kiểm soát và bộ máy điều hành</w:t>
      </w:r>
      <w:r w:rsidRPr="0028668C">
        <w:rPr>
          <w:sz w:val="28"/>
          <w:szCs w:val="28"/>
          <w:lang w:val="es-ES_tradnl"/>
        </w:rPr>
        <w:t>, c</w:t>
      </w:r>
      <w:r w:rsidRPr="0028668C">
        <w:rPr>
          <w:sz w:val="28"/>
          <w:szCs w:val="28"/>
          <w:lang w:val="vi-VN"/>
        </w:rPr>
        <w:t>ơ chế quản lý Quỹ khác nhau, bộ máy điều hành một số Quỹ chủ yếu làm công tác kiêm nhiệm, dẫn đến chất lượng hoạt động của một số Quỹ chưa cao.</w:t>
      </w:r>
    </w:p>
    <w:p w14:paraId="539D38D9" w14:textId="12BE411C" w:rsidR="00895327" w:rsidRPr="0028668C" w:rsidRDefault="00CC29ED" w:rsidP="00713A97">
      <w:pPr>
        <w:spacing w:before="60"/>
        <w:ind w:firstLine="567"/>
        <w:jc w:val="both"/>
        <w:rPr>
          <w:sz w:val="28"/>
          <w:szCs w:val="28"/>
          <w:lang w:val="vi-VN"/>
        </w:rPr>
      </w:pPr>
      <w:r w:rsidRPr="0028668C">
        <w:rPr>
          <w:sz w:val="28"/>
          <w:szCs w:val="28"/>
          <w:lang w:val="vi-VN"/>
        </w:rPr>
        <w:t xml:space="preserve">- Trong điều kiện nguồn thu ngân sách địa phương còn thấp nên nguồn vốn hỗ trợ cho các Quỹ từ ngân sách nhà nước còn hạn chế. Bên cạnh đó, </w:t>
      </w:r>
      <w:r w:rsidR="00A927D9" w:rsidRPr="00A15F1F">
        <w:rPr>
          <w:sz w:val="28"/>
          <w:szCs w:val="28"/>
          <w:lang w:val="vi-VN"/>
        </w:rPr>
        <w:t xml:space="preserve">do ảnh hương của dịch Covid-19, </w:t>
      </w:r>
      <w:r w:rsidRPr="0028668C">
        <w:rPr>
          <w:sz w:val="28"/>
          <w:szCs w:val="28"/>
          <w:lang w:val="vi-VN"/>
        </w:rPr>
        <w:t xml:space="preserve">nguồn lực huy động từ bên ngoài hàng năm thấp, công tác vận động, kêu gọi ủng hộ các Quỹ chưa thường xuyên, chủ yếu tập trung vào từng đợt, tháng cao điểm </w:t>
      </w:r>
      <w:r w:rsidRPr="0028668C">
        <w:rPr>
          <w:i/>
          <w:sz w:val="28"/>
          <w:szCs w:val="28"/>
          <w:lang w:val="vi-VN"/>
        </w:rPr>
        <w:t>(Chương trình, lễ kỷ niệm….)</w:t>
      </w:r>
      <w:r w:rsidRPr="0028668C">
        <w:rPr>
          <w:sz w:val="28"/>
          <w:szCs w:val="28"/>
          <w:lang w:val="vi-VN"/>
        </w:rPr>
        <w:t xml:space="preserve"> trong năm, nên kết quả huy động nguồn lực còn thấp, chưa đáp ứng được mong muốn, mục tiêu hoạt động của một số Quỹ.</w:t>
      </w:r>
    </w:p>
    <w:p w14:paraId="0843A57B" w14:textId="4F41E9D7" w:rsidR="00B27DD8" w:rsidRPr="00A15F1F" w:rsidRDefault="00B27DD8" w:rsidP="00713A97">
      <w:pPr>
        <w:spacing w:before="60"/>
        <w:ind w:firstLine="567"/>
        <w:jc w:val="both"/>
        <w:rPr>
          <w:sz w:val="28"/>
          <w:szCs w:val="28"/>
          <w:lang w:val="vi-VN"/>
        </w:rPr>
      </w:pPr>
      <w:r w:rsidRPr="00A15F1F">
        <w:rPr>
          <w:sz w:val="28"/>
          <w:szCs w:val="28"/>
          <w:lang w:val="vi-VN"/>
        </w:rPr>
        <w:t xml:space="preserve">- </w:t>
      </w:r>
      <w:r w:rsidR="0043000F" w:rsidRPr="00A15F1F">
        <w:rPr>
          <w:sz w:val="28"/>
          <w:szCs w:val="28"/>
          <w:lang w:val="vi-VN"/>
        </w:rPr>
        <w:t>C</w:t>
      </w:r>
      <w:r w:rsidRPr="00A15F1F">
        <w:rPr>
          <w:sz w:val="28"/>
          <w:szCs w:val="28"/>
          <w:lang w:val="vi-VN"/>
        </w:rPr>
        <w:t>ác doanh nghiệp trên địa bàn tỉnh chủ yếu là các doanh nghiệp nhỏ, vì vậy việc vận động ủng hộ từ các doanh nghiệp, các cá nhân, các tổ chức, các nhà hảo tâm còn nhiều hạn chế, có nhiều cuộc vận động diễn ra đồng thời nên kết quả vận động chưa cao.</w:t>
      </w:r>
    </w:p>
    <w:p w14:paraId="11FCAAE8" w14:textId="55A219F2" w:rsidR="00CC29ED" w:rsidRPr="0028668C" w:rsidRDefault="00CC29ED" w:rsidP="00713A97">
      <w:pPr>
        <w:spacing w:before="60"/>
        <w:ind w:firstLine="567"/>
        <w:jc w:val="both"/>
        <w:rPr>
          <w:sz w:val="28"/>
          <w:szCs w:val="28"/>
          <w:lang w:val="vi-VN"/>
        </w:rPr>
      </w:pPr>
      <w:r w:rsidRPr="0028668C">
        <w:rPr>
          <w:b/>
          <w:sz w:val="28"/>
          <w:szCs w:val="28"/>
          <w:lang w:val="es-ES_tradnl"/>
        </w:rPr>
        <w:t>III. KẾ HOẠCH TÀI CHÍNH NĂM 202</w:t>
      </w:r>
      <w:r w:rsidR="00B27DD8" w:rsidRPr="0028668C">
        <w:rPr>
          <w:b/>
          <w:sz w:val="28"/>
          <w:szCs w:val="28"/>
          <w:lang w:val="es-ES_tradnl"/>
        </w:rPr>
        <w:t>2</w:t>
      </w:r>
      <w:r w:rsidRPr="0028668C">
        <w:rPr>
          <w:b/>
          <w:sz w:val="28"/>
          <w:szCs w:val="28"/>
          <w:lang w:val="es-ES_tradnl"/>
        </w:rPr>
        <w:t xml:space="preserve"> VÀ PHƯƠNG HƯỚNG, GIẢI PHÁP TRIỂN KHAI THỰC HIỆN TRONG THỜI GIAN TỚI</w:t>
      </w:r>
    </w:p>
    <w:p w14:paraId="25354A78" w14:textId="73794403" w:rsidR="00CC29ED" w:rsidRPr="0028668C" w:rsidRDefault="00CC29ED" w:rsidP="00713A97">
      <w:pPr>
        <w:spacing w:before="60"/>
        <w:ind w:firstLine="567"/>
        <w:jc w:val="both"/>
        <w:rPr>
          <w:b/>
          <w:sz w:val="28"/>
          <w:szCs w:val="28"/>
          <w:lang w:val="es-ES_tradnl"/>
        </w:rPr>
      </w:pPr>
      <w:r w:rsidRPr="0028668C">
        <w:rPr>
          <w:b/>
          <w:sz w:val="28"/>
          <w:szCs w:val="28"/>
          <w:lang w:val="es-ES_tradnl"/>
        </w:rPr>
        <w:t>1. Kế hoạch tài chính năm 202</w:t>
      </w:r>
      <w:r w:rsidR="00B27DD8" w:rsidRPr="0028668C">
        <w:rPr>
          <w:b/>
          <w:sz w:val="28"/>
          <w:szCs w:val="28"/>
          <w:lang w:val="es-ES_tradnl"/>
        </w:rPr>
        <w:t>2</w:t>
      </w:r>
    </w:p>
    <w:p w14:paraId="08769C50" w14:textId="367C0357" w:rsidR="00CC29ED" w:rsidRPr="0028668C" w:rsidRDefault="00CC29ED" w:rsidP="00713A97">
      <w:pPr>
        <w:spacing w:before="60"/>
        <w:ind w:firstLine="567"/>
        <w:jc w:val="both"/>
        <w:rPr>
          <w:spacing w:val="-2"/>
          <w:sz w:val="28"/>
          <w:szCs w:val="28"/>
          <w:lang w:val="es-ES_tradnl"/>
        </w:rPr>
      </w:pPr>
      <w:r w:rsidRPr="0028668C">
        <w:rPr>
          <w:spacing w:val="-2"/>
          <w:sz w:val="28"/>
          <w:szCs w:val="28"/>
          <w:lang w:val="es-ES_tradnl"/>
        </w:rPr>
        <w:t>- Dự kiến kế hoạch nguồn tài chính phát sinh trong năm 202</w:t>
      </w:r>
      <w:r w:rsidR="00B27DD8" w:rsidRPr="0028668C">
        <w:rPr>
          <w:spacing w:val="-2"/>
          <w:sz w:val="28"/>
          <w:szCs w:val="28"/>
          <w:lang w:val="es-ES_tradnl"/>
        </w:rPr>
        <w:t>2</w:t>
      </w:r>
      <w:r w:rsidRPr="0028668C">
        <w:rPr>
          <w:spacing w:val="-2"/>
          <w:sz w:val="28"/>
          <w:szCs w:val="28"/>
          <w:lang w:val="es-ES_tradnl"/>
        </w:rPr>
        <w:t xml:space="preserve"> của các Quỹ là </w:t>
      </w:r>
      <w:r w:rsidR="00C80D7B" w:rsidRPr="0028668C">
        <w:rPr>
          <w:spacing w:val="-2"/>
          <w:sz w:val="28"/>
          <w:szCs w:val="28"/>
          <w:lang w:val="es-ES_tradnl"/>
        </w:rPr>
        <w:t>598.092</w:t>
      </w:r>
      <w:r w:rsidRPr="0028668C">
        <w:rPr>
          <w:spacing w:val="-2"/>
          <w:sz w:val="28"/>
          <w:szCs w:val="28"/>
          <w:lang w:val="es-ES_tradnl"/>
        </w:rPr>
        <w:t xml:space="preserve"> triệu đồng </w:t>
      </w:r>
      <w:r w:rsidRPr="0028668C">
        <w:rPr>
          <w:i/>
          <w:spacing w:val="-2"/>
          <w:sz w:val="28"/>
          <w:szCs w:val="28"/>
          <w:lang w:val="es-ES_tradnl"/>
        </w:rPr>
        <w:t xml:space="preserve">(cấp tỉnh quản lý </w:t>
      </w:r>
      <w:r w:rsidR="00C80D7B" w:rsidRPr="0028668C">
        <w:rPr>
          <w:i/>
          <w:spacing w:val="-2"/>
          <w:sz w:val="28"/>
          <w:szCs w:val="28"/>
          <w:lang w:val="es-ES_tradnl"/>
        </w:rPr>
        <w:t>584.793</w:t>
      </w:r>
      <w:r w:rsidRPr="0028668C">
        <w:rPr>
          <w:i/>
          <w:spacing w:val="-2"/>
          <w:sz w:val="28"/>
          <w:szCs w:val="28"/>
          <w:lang w:val="es-ES_tradnl"/>
        </w:rPr>
        <w:t xml:space="preserve"> triệu</w:t>
      </w:r>
      <w:r w:rsidR="004049E7" w:rsidRPr="0028668C">
        <w:rPr>
          <w:i/>
          <w:spacing w:val="-2"/>
          <w:sz w:val="28"/>
          <w:szCs w:val="28"/>
          <w:lang w:val="es-ES_tradnl"/>
        </w:rPr>
        <w:t xml:space="preserve"> </w:t>
      </w:r>
      <w:r w:rsidRPr="0028668C">
        <w:rPr>
          <w:i/>
          <w:spacing w:val="-2"/>
          <w:sz w:val="28"/>
          <w:szCs w:val="28"/>
          <w:lang w:val="es-ES_tradnl"/>
        </w:rPr>
        <w:t xml:space="preserve">đồng; cấp huyện quản lý </w:t>
      </w:r>
      <w:r w:rsidR="00C80D7B" w:rsidRPr="0028668C">
        <w:rPr>
          <w:i/>
          <w:spacing w:val="-2"/>
          <w:sz w:val="28"/>
          <w:szCs w:val="28"/>
          <w:lang w:val="es-ES_tradnl"/>
        </w:rPr>
        <w:t>13.299</w:t>
      </w:r>
      <w:r w:rsidRPr="0028668C">
        <w:rPr>
          <w:i/>
          <w:spacing w:val="-2"/>
          <w:sz w:val="28"/>
          <w:szCs w:val="28"/>
          <w:lang w:val="es-ES_tradnl"/>
        </w:rPr>
        <w:t xml:space="preserve"> triệu đồng)</w:t>
      </w:r>
      <w:r w:rsidR="00A423C8" w:rsidRPr="0028668C">
        <w:rPr>
          <w:spacing w:val="-2"/>
          <w:sz w:val="28"/>
          <w:szCs w:val="28"/>
          <w:lang w:val="es-ES_tradnl"/>
        </w:rPr>
        <w:t>, trong đó: n</w:t>
      </w:r>
      <w:r w:rsidRPr="0028668C">
        <w:rPr>
          <w:spacing w:val="-2"/>
          <w:sz w:val="28"/>
          <w:szCs w:val="28"/>
          <w:lang w:val="es-ES_tradnl"/>
        </w:rPr>
        <w:t xml:space="preserve">guồn hỗ trợ từ NSNN </w:t>
      </w:r>
      <w:r w:rsidR="00C80D7B" w:rsidRPr="0028668C">
        <w:rPr>
          <w:spacing w:val="-2"/>
          <w:sz w:val="28"/>
          <w:szCs w:val="28"/>
          <w:lang w:val="es-ES_tradnl"/>
        </w:rPr>
        <w:t>53.649</w:t>
      </w:r>
      <w:r w:rsidRPr="0028668C">
        <w:rPr>
          <w:spacing w:val="-2"/>
          <w:sz w:val="28"/>
          <w:szCs w:val="28"/>
          <w:lang w:val="es-ES_tradnl"/>
        </w:rPr>
        <w:t xml:space="preserve"> triệu </w:t>
      </w:r>
      <w:proofErr w:type="gramStart"/>
      <w:r w:rsidRPr="0028668C">
        <w:rPr>
          <w:spacing w:val="-2"/>
          <w:sz w:val="28"/>
          <w:szCs w:val="28"/>
          <w:lang w:val="es-ES_tradnl"/>
        </w:rPr>
        <w:t>đồng</w:t>
      </w:r>
      <w:r w:rsidRPr="0028668C">
        <w:rPr>
          <w:spacing w:val="-2"/>
          <w:sz w:val="28"/>
          <w:szCs w:val="28"/>
          <w:vertAlign w:val="superscript"/>
          <w:lang w:val="es-ES_tradnl"/>
        </w:rPr>
        <w:t>(</w:t>
      </w:r>
      <w:proofErr w:type="gramEnd"/>
      <w:r w:rsidRPr="0028668C">
        <w:rPr>
          <w:rStyle w:val="FootnoteReference"/>
          <w:spacing w:val="-2"/>
          <w:sz w:val="28"/>
          <w:szCs w:val="28"/>
          <w:lang w:val="es-ES_tradnl"/>
        </w:rPr>
        <w:footnoteReference w:id="11"/>
      </w:r>
      <w:r w:rsidRPr="0028668C">
        <w:rPr>
          <w:spacing w:val="-2"/>
          <w:sz w:val="28"/>
          <w:szCs w:val="28"/>
          <w:vertAlign w:val="superscript"/>
          <w:lang w:val="es-ES_tradnl"/>
        </w:rPr>
        <w:t>)</w:t>
      </w:r>
      <w:r w:rsidRPr="0028668C">
        <w:rPr>
          <w:spacing w:val="-2"/>
          <w:sz w:val="28"/>
          <w:szCs w:val="28"/>
          <w:lang w:val="es-ES_tradnl"/>
        </w:rPr>
        <w:t xml:space="preserve">; thu từ trả nợ vay, hoàn ứng </w:t>
      </w:r>
      <w:r w:rsidR="00FA3C63" w:rsidRPr="0028668C">
        <w:rPr>
          <w:spacing w:val="-2"/>
          <w:sz w:val="28"/>
          <w:szCs w:val="28"/>
          <w:lang w:val="es-ES_tradnl"/>
        </w:rPr>
        <w:t>203.883</w:t>
      </w:r>
      <w:r w:rsidRPr="0028668C">
        <w:rPr>
          <w:spacing w:val="-2"/>
          <w:sz w:val="28"/>
          <w:szCs w:val="28"/>
          <w:lang w:val="es-ES_tradnl"/>
        </w:rPr>
        <w:t xml:space="preserve"> triệu đồng; thu hồi từ cho vay, lãi tiền gửi, thu dịch vụ, sự nghiệp </w:t>
      </w:r>
      <w:r w:rsidR="00FA3C63" w:rsidRPr="0028668C">
        <w:rPr>
          <w:spacing w:val="-2"/>
          <w:sz w:val="28"/>
          <w:szCs w:val="28"/>
          <w:lang w:val="es-ES_tradnl"/>
        </w:rPr>
        <w:t>325.418</w:t>
      </w:r>
      <w:r w:rsidRPr="0028668C">
        <w:rPr>
          <w:spacing w:val="-2"/>
          <w:sz w:val="28"/>
          <w:szCs w:val="28"/>
          <w:lang w:val="es-ES_tradnl"/>
        </w:rPr>
        <w:t xml:space="preserve"> triệu đồng</w:t>
      </w:r>
      <w:r w:rsidRPr="0028668C">
        <w:rPr>
          <w:spacing w:val="-2"/>
          <w:sz w:val="28"/>
          <w:szCs w:val="28"/>
          <w:vertAlign w:val="superscript"/>
          <w:lang w:val="es-ES_tradnl"/>
        </w:rPr>
        <w:t>(</w:t>
      </w:r>
      <w:r w:rsidRPr="0028668C">
        <w:rPr>
          <w:rStyle w:val="FootnoteReference"/>
          <w:spacing w:val="-2"/>
          <w:sz w:val="28"/>
          <w:szCs w:val="28"/>
          <w:lang w:val="es-ES_tradnl"/>
        </w:rPr>
        <w:footnoteReference w:id="12"/>
      </w:r>
      <w:r w:rsidRPr="0028668C">
        <w:rPr>
          <w:spacing w:val="-2"/>
          <w:sz w:val="28"/>
          <w:szCs w:val="28"/>
          <w:vertAlign w:val="superscript"/>
          <w:lang w:val="es-ES_tradnl"/>
        </w:rPr>
        <w:t>)</w:t>
      </w:r>
      <w:r w:rsidRPr="0028668C">
        <w:rPr>
          <w:spacing w:val="-2"/>
          <w:sz w:val="28"/>
          <w:szCs w:val="28"/>
          <w:lang w:val="es-ES_tradnl"/>
        </w:rPr>
        <w:t xml:space="preserve"> và thu tài trợ, viện trợ </w:t>
      </w:r>
      <w:r w:rsidR="00FA3C63" w:rsidRPr="0028668C">
        <w:rPr>
          <w:spacing w:val="-2"/>
          <w:sz w:val="28"/>
          <w:szCs w:val="28"/>
          <w:lang w:val="es-ES_tradnl"/>
        </w:rPr>
        <w:t>15.142</w:t>
      </w:r>
      <w:r w:rsidRPr="0028668C">
        <w:rPr>
          <w:spacing w:val="-2"/>
          <w:sz w:val="28"/>
          <w:szCs w:val="28"/>
          <w:lang w:val="es-ES_tradnl"/>
        </w:rPr>
        <w:t xml:space="preserve"> triệu đồng.</w:t>
      </w:r>
    </w:p>
    <w:p w14:paraId="37B6C99B" w14:textId="31C137DD" w:rsidR="00CC29ED" w:rsidRPr="0028668C" w:rsidRDefault="00CC29ED" w:rsidP="00713A97">
      <w:pPr>
        <w:spacing w:before="60"/>
        <w:ind w:firstLine="567"/>
        <w:jc w:val="both"/>
        <w:rPr>
          <w:sz w:val="28"/>
          <w:szCs w:val="28"/>
          <w:highlight w:val="yellow"/>
          <w:lang w:val="es-ES_tradnl"/>
        </w:rPr>
      </w:pPr>
      <w:r w:rsidRPr="0028668C">
        <w:rPr>
          <w:sz w:val="28"/>
          <w:szCs w:val="28"/>
          <w:lang w:val="es-ES_tradnl"/>
        </w:rPr>
        <w:t xml:space="preserve">- Dự kiến nguồn tài chính các Quỹ được sử dụng trong năm là </w:t>
      </w:r>
      <w:r w:rsidR="00FA3C63" w:rsidRPr="0028668C">
        <w:rPr>
          <w:sz w:val="28"/>
          <w:szCs w:val="28"/>
          <w:lang w:val="es-ES_tradnl"/>
        </w:rPr>
        <w:t>633.238</w:t>
      </w:r>
      <w:r w:rsidRPr="0028668C">
        <w:rPr>
          <w:sz w:val="28"/>
          <w:szCs w:val="28"/>
          <w:lang w:val="es-ES_tradnl"/>
        </w:rPr>
        <w:t xml:space="preserve"> triệu đồng, trong đó: Bổ sung vốn điều lệ </w:t>
      </w:r>
      <w:r w:rsidR="00FA3C63" w:rsidRPr="0028668C">
        <w:rPr>
          <w:sz w:val="28"/>
          <w:szCs w:val="28"/>
          <w:lang w:val="es-ES_tradnl"/>
        </w:rPr>
        <w:t>14.000</w:t>
      </w:r>
      <w:r w:rsidRPr="0028668C">
        <w:rPr>
          <w:sz w:val="28"/>
          <w:szCs w:val="28"/>
          <w:lang w:val="es-ES_tradnl"/>
        </w:rPr>
        <w:t xml:space="preserve"> triệu đồng; chi cho vay, ứng vốn </w:t>
      </w:r>
      <w:r w:rsidR="00FA3C63" w:rsidRPr="0028668C">
        <w:rPr>
          <w:sz w:val="28"/>
          <w:szCs w:val="28"/>
          <w:lang w:val="es-ES_tradnl"/>
        </w:rPr>
        <w:t>267.100</w:t>
      </w:r>
      <w:r w:rsidRPr="0028668C">
        <w:rPr>
          <w:sz w:val="28"/>
          <w:szCs w:val="28"/>
          <w:lang w:val="es-ES_tradnl"/>
        </w:rPr>
        <w:t xml:space="preserve"> triệu đồng; chi hoạt động bộ máy quản lý Quỹ </w:t>
      </w:r>
      <w:r w:rsidR="0043000F" w:rsidRPr="0028668C">
        <w:rPr>
          <w:sz w:val="28"/>
          <w:szCs w:val="28"/>
          <w:lang w:val="es-ES_tradnl"/>
        </w:rPr>
        <w:t xml:space="preserve">31.126 </w:t>
      </w:r>
      <w:r w:rsidRPr="0028668C">
        <w:rPr>
          <w:sz w:val="28"/>
          <w:szCs w:val="28"/>
          <w:lang w:val="es-ES_tradnl"/>
        </w:rPr>
        <w:t xml:space="preserve">triệu đồng và chi thực hiện các nhiệm vụ tài trợ, hỗ trợ theo mục tiêu, nhiệm vụ theo quy định, điều lệ hoạt động của Quỹ </w:t>
      </w:r>
      <w:r w:rsidR="0043000F" w:rsidRPr="0028668C">
        <w:rPr>
          <w:sz w:val="28"/>
          <w:szCs w:val="28"/>
          <w:lang w:val="es-ES_tradnl"/>
        </w:rPr>
        <w:t xml:space="preserve">là 321.012 </w:t>
      </w:r>
      <w:r w:rsidR="0020330A" w:rsidRPr="0028668C">
        <w:rPr>
          <w:sz w:val="28"/>
          <w:szCs w:val="28"/>
          <w:lang w:val="es-ES_tradnl"/>
        </w:rPr>
        <w:t xml:space="preserve">triệu đồng </w:t>
      </w:r>
      <w:r w:rsidR="00943E30" w:rsidRPr="0028668C">
        <w:rPr>
          <w:i/>
          <w:sz w:val="28"/>
          <w:szCs w:val="28"/>
          <w:lang w:val="es-ES_tradnl"/>
        </w:rPr>
        <w:t xml:space="preserve">(Có phụ lục </w:t>
      </w:r>
      <w:r w:rsidR="0020330A" w:rsidRPr="0028668C">
        <w:rPr>
          <w:i/>
          <w:sz w:val="28"/>
          <w:szCs w:val="28"/>
          <w:lang w:val="es-ES_tradnl"/>
        </w:rPr>
        <w:t>01</w:t>
      </w:r>
      <w:r w:rsidR="00943E30" w:rsidRPr="0028668C">
        <w:rPr>
          <w:i/>
          <w:sz w:val="28"/>
          <w:szCs w:val="28"/>
          <w:lang w:val="es-ES_tradnl"/>
        </w:rPr>
        <w:t xml:space="preserve"> kèm theo)</w:t>
      </w:r>
    </w:p>
    <w:p w14:paraId="7A611F5D" w14:textId="77777777" w:rsidR="00CC29ED" w:rsidRPr="0028668C" w:rsidRDefault="00CC29ED" w:rsidP="00713A97">
      <w:pPr>
        <w:spacing w:before="60"/>
        <w:ind w:firstLine="567"/>
        <w:jc w:val="both"/>
        <w:rPr>
          <w:strike/>
          <w:sz w:val="28"/>
          <w:szCs w:val="28"/>
          <w:lang w:val="vi-VN"/>
        </w:rPr>
      </w:pPr>
      <w:r w:rsidRPr="0028668C">
        <w:rPr>
          <w:b/>
          <w:sz w:val="28"/>
          <w:szCs w:val="28"/>
          <w:lang w:val="es-ES_tradnl"/>
        </w:rPr>
        <w:t>2. Phương hướng, giải pháp triển khai thực hiện trong thời gian tới</w:t>
      </w:r>
    </w:p>
    <w:p w14:paraId="7AFD2DBD" w14:textId="0C3261B9" w:rsidR="00CC29ED" w:rsidRPr="0028668C" w:rsidRDefault="00CC29ED" w:rsidP="00713A97">
      <w:pPr>
        <w:spacing w:before="60"/>
        <w:ind w:firstLine="567"/>
        <w:jc w:val="both"/>
        <w:rPr>
          <w:sz w:val="28"/>
          <w:szCs w:val="28"/>
          <w:lang w:val="vi-VN"/>
        </w:rPr>
      </w:pPr>
      <w:r w:rsidRPr="0028668C">
        <w:rPr>
          <w:sz w:val="28"/>
          <w:szCs w:val="28"/>
          <w:lang w:val="vi-VN"/>
        </w:rPr>
        <w:t xml:space="preserve">Để thực hiện tốt công tác quản lý nhà nước đối với các Quỹ tài chính nhà nước trên địa bàn tỉnh trong thời gian tới, Ủy ban nhân dân tỉnh sẽ tập trung chỉ </w:t>
      </w:r>
      <w:r w:rsidRPr="0028668C">
        <w:rPr>
          <w:sz w:val="28"/>
          <w:szCs w:val="28"/>
          <w:lang w:val="vi-VN"/>
        </w:rPr>
        <w:lastRenderedPageBreak/>
        <w:t>đạo các cơ quan, đơn vị có liên quan triển khai thực hiện tốt các nhiệm vụ, giải pháp sau:</w:t>
      </w:r>
    </w:p>
    <w:p w14:paraId="4EA35A2F" w14:textId="087A2619" w:rsidR="00902557" w:rsidRPr="00A15F1F" w:rsidRDefault="00902557" w:rsidP="00713A97">
      <w:pPr>
        <w:spacing w:before="60"/>
        <w:ind w:firstLine="567"/>
        <w:jc w:val="both"/>
        <w:rPr>
          <w:sz w:val="28"/>
          <w:szCs w:val="28"/>
          <w:lang w:val="vi-VN"/>
        </w:rPr>
      </w:pPr>
      <w:r w:rsidRPr="00A15F1F">
        <w:rPr>
          <w:sz w:val="28"/>
          <w:szCs w:val="28"/>
          <w:lang w:val="vi-VN"/>
        </w:rPr>
        <w:t>- Xác định rõ mục đích của Quỹ, đảm bảo sử dụng Quỹ một cách tiết kiệm theo đúng mục đích thành lập Quỹ, tránh chiếm dụng, sai mục tiêu, lãng phí quỹ. Xây dựng và kiện toàn chế độ tạo lập, sử dụng, phương thức quản lý Quỹ phù hợp cho từng thời kỳ. Thực hiện công khai hoá các nguồn hình thành quỹ. Áp dụng các phương thức quản lý khác nhau tuỳ theo từng loại Quỹ. Nhìn chung, các Quỹ tài chính ngoài NSNN đều do nhiều cơ quan tham gia, vì vậy việc xác định chức năng, nhiệm vụ của từng thành viên trong việc quản lý quỹ phải rõ ràng, cụ thể, vừa tránh chồng chéo,</w:t>
      </w:r>
      <w:r w:rsidR="004049E7" w:rsidRPr="00A15F1F">
        <w:rPr>
          <w:sz w:val="28"/>
          <w:szCs w:val="28"/>
          <w:lang w:val="vi-VN"/>
        </w:rPr>
        <w:t xml:space="preserve"> vừa tránh sơ hở gây thất thoát.</w:t>
      </w:r>
    </w:p>
    <w:p w14:paraId="5DD0AEB5" w14:textId="050FEA7C" w:rsidR="00CC29ED" w:rsidRPr="00A15F1F" w:rsidRDefault="00CC29ED" w:rsidP="00713A97">
      <w:pPr>
        <w:spacing w:before="60"/>
        <w:ind w:firstLine="567"/>
        <w:jc w:val="both"/>
        <w:rPr>
          <w:sz w:val="28"/>
          <w:szCs w:val="28"/>
          <w:lang w:val="vi-VN"/>
        </w:rPr>
      </w:pPr>
      <w:r w:rsidRPr="0028668C">
        <w:rPr>
          <w:sz w:val="28"/>
          <w:szCs w:val="28"/>
          <w:lang w:val="vi-VN"/>
        </w:rPr>
        <w:t xml:space="preserve">- </w:t>
      </w:r>
      <w:r w:rsidR="00A423C8" w:rsidRPr="00A15F1F">
        <w:rPr>
          <w:sz w:val="28"/>
          <w:szCs w:val="28"/>
          <w:lang w:val="vi-VN"/>
        </w:rPr>
        <w:t>C</w:t>
      </w:r>
      <w:r w:rsidR="00B64F24" w:rsidRPr="0028668C">
        <w:rPr>
          <w:sz w:val="28"/>
          <w:szCs w:val="28"/>
          <w:lang w:val="vi-VN"/>
        </w:rPr>
        <w:t>ác cấp, các ngành</w:t>
      </w:r>
      <w:r w:rsidR="00B64F24" w:rsidRPr="00A15F1F">
        <w:rPr>
          <w:sz w:val="28"/>
          <w:szCs w:val="28"/>
          <w:lang w:val="vi-VN"/>
        </w:rPr>
        <w:t xml:space="preserve"> </w:t>
      </w:r>
      <w:r w:rsidRPr="0028668C">
        <w:rPr>
          <w:sz w:val="28"/>
          <w:szCs w:val="28"/>
          <w:lang w:val="vi-VN"/>
        </w:rPr>
        <w:t xml:space="preserve">theo phân cấp quản lý </w:t>
      </w:r>
      <w:r w:rsidRPr="00A15F1F">
        <w:rPr>
          <w:sz w:val="28"/>
          <w:szCs w:val="28"/>
          <w:lang w:val="vi-VN"/>
        </w:rPr>
        <w:t>sẽ xây dựng kế hoạch</w:t>
      </w:r>
      <w:r w:rsidRPr="0028668C">
        <w:rPr>
          <w:sz w:val="28"/>
          <w:szCs w:val="28"/>
          <w:lang w:val="vi-VN"/>
        </w:rPr>
        <w:t xml:space="preserve"> thanh tra, kiểm tra việc quản lý, sử dụng</w:t>
      </w:r>
      <w:r w:rsidR="008B345B" w:rsidRPr="00A15F1F">
        <w:rPr>
          <w:sz w:val="28"/>
          <w:szCs w:val="28"/>
          <w:lang w:val="vi-VN"/>
        </w:rPr>
        <w:t xml:space="preserve"> một số</w:t>
      </w:r>
      <w:r w:rsidRPr="0028668C">
        <w:rPr>
          <w:sz w:val="28"/>
          <w:szCs w:val="28"/>
          <w:lang w:val="vi-VN"/>
        </w:rPr>
        <w:t xml:space="preserve"> Quỹ tài chính nhà nước ngoài ngân sách theo</w:t>
      </w:r>
      <w:r w:rsidR="000C073B" w:rsidRPr="00A15F1F">
        <w:rPr>
          <w:sz w:val="28"/>
          <w:szCs w:val="28"/>
          <w:lang w:val="vi-VN"/>
        </w:rPr>
        <w:t xml:space="preserve"> </w:t>
      </w:r>
      <w:r w:rsidR="008B345B" w:rsidRPr="00A15F1F">
        <w:rPr>
          <w:sz w:val="28"/>
          <w:szCs w:val="28"/>
          <w:lang w:val="vi-VN"/>
        </w:rPr>
        <w:t>quy định</w:t>
      </w:r>
      <w:r w:rsidRPr="0028668C">
        <w:rPr>
          <w:sz w:val="28"/>
          <w:szCs w:val="28"/>
          <w:lang w:val="vi-VN"/>
        </w:rPr>
        <w:t>; bảo đảm nguồn lực tài chính nhà nước được quản lý, sử dụng có hiệu quả, công khai, minh bạch. T</w:t>
      </w:r>
      <w:r w:rsidRPr="0028668C">
        <w:rPr>
          <w:sz w:val="28"/>
          <w:szCs w:val="28"/>
          <w:lang w:val="es-ES_tradnl"/>
        </w:rPr>
        <w:t>hực hiện công khai hoạt động của các Quỹ tài chính nhà nước, xử lý nghiêm các vi phạm theo quy định của pháp luật.</w:t>
      </w:r>
    </w:p>
    <w:p w14:paraId="29CB4A1F" w14:textId="5B2918AF" w:rsidR="00CC29ED" w:rsidRPr="0028668C" w:rsidRDefault="00CC29ED" w:rsidP="00713A97">
      <w:pPr>
        <w:spacing w:before="60"/>
        <w:ind w:firstLine="567"/>
        <w:jc w:val="both"/>
        <w:rPr>
          <w:sz w:val="28"/>
          <w:szCs w:val="28"/>
          <w:lang w:val="es-ES_tradnl"/>
        </w:rPr>
      </w:pPr>
      <w:r w:rsidRPr="0028668C">
        <w:rPr>
          <w:sz w:val="28"/>
          <w:szCs w:val="28"/>
          <w:lang w:val="es-ES_tradnl"/>
        </w:rPr>
        <w:t xml:space="preserve">- Triển khai thực hiện công tác quản lý các Quỹ phù hợp với quy định hiện hành; rà soát, xây dựng và tham mưu cấp có thẩm quyền củng cố và kiện toàn tổ chức bộ máy quản lý </w:t>
      </w:r>
      <w:r w:rsidR="008B345B" w:rsidRPr="0028668C">
        <w:rPr>
          <w:sz w:val="28"/>
          <w:szCs w:val="28"/>
          <w:lang w:val="es-ES_tradnl"/>
        </w:rPr>
        <w:t xml:space="preserve">các </w:t>
      </w:r>
      <w:r w:rsidRPr="0028668C">
        <w:rPr>
          <w:sz w:val="28"/>
          <w:szCs w:val="28"/>
          <w:lang w:val="es-ES_tradnl"/>
        </w:rPr>
        <w:t>Quỹ kịp thời, đảm bảo hiệu quả hoạt động của Quỹ theo đúng quy định hiện hành.</w:t>
      </w:r>
    </w:p>
    <w:p w14:paraId="3E1C504D" w14:textId="3E1AF671" w:rsidR="000C073B" w:rsidRPr="0028668C" w:rsidRDefault="00CC29ED" w:rsidP="00713A97">
      <w:pPr>
        <w:spacing w:before="60"/>
        <w:ind w:firstLine="567"/>
        <w:jc w:val="both"/>
        <w:rPr>
          <w:sz w:val="28"/>
          <w:szCs w:val="28"/>
          <w:lang w:val="es-ES_tradnl"/>
        </w:rPr>
      </w:pPr>
      <w:r w:rsidRPr="0028668C">
        <w:rPr>
          <w:sz w:val="28"/>
          <w:szCs w:val="28"/>
          <w:lang w:val="es-ES_tradnl"/>
        </w:rPr>
        <w:t>- Hội đồng quản lý Quỹ, Ban điều hành các Quỹ tích cực, chủ động thực hiện các biện pháp</w:t>
      </w:r>
      <w:r w:rsidR="00902557" w:rsidRPr="0028668C">
        <w:rPr>
          <w:sz w:val="28"/>
          <w:szCs w:val="28"/>
          <w:lang w:val="es-ES_tradnl"/>
        </w:rPr>
        <w:t xml:space="preserve"> tuyên truyền,</w:t>
      </w:r>
      <w:r w:rsidRPr="0028668C">
        <w:rPr>
          <w:sz w:val="28"/>
          <w:szCs w:val="28"/>
          <w:lang w:val="es-ES_tradnl"/>
        </w:rPr>
        <w:t xml:space="preserve"> mở rộng huy động nguồn vốn để triển khai thực hiện nhiệm vụ của Quỹ mình đạt kết quả cao nhất.</w:t>
      </w:r>
      <w:r w:rsidR="000C073B" w:rsidRPr="0028668C">
        <w:rPr>
          <w:sz w:val="28"/>
          <w:szCs w:val="28"/>
          <w:lang w:val="es-ES_tradnl"/>
        </w:rPr>
        <w:t xml:space="preserve"> </w:t>
      </w:r>
    </w:p>
    <w:p w14:paraId="3CC89C4A" w14:textId="3B62B594" w:rsidR="00BB095C" w:rsidRDefault="000C073B" w:rsidP="00713A97">
      <w:pPr>
        <w:spacing w:before="60"/>
        <w:ind w:firstLine="567"/>
        <w:jc w:val="both"/>
        <w:rPr>
          <w:sz w:val="28"/>
          <w:szCs w:val="28"/>
          <w:lang w:val="es-ES_tradnl"/>
        </w:rPr>
      </w:pPr>
      <w:r w:rsidRPr="0028668C">
        <w:rPr>
          <w:sz w:val="28"/>
          <w:szCs w:val="28"/>
          <w:lang w:val="es-ES_tradnl"/>
        </w:rPr>
        <w:t xml:space="preserve">- </w:t>
      </w:r>
      <w:r w:rsidR="00CC29ED" w:rsidRPr="0028668C">
        <w:rPr>
          <w:sz w:val="28"/>
          <w:szCs w:val="28"/>
          <w:shd w:val="clear" w:color="auto" w:fill="FFFFFF"/>
          <w:lang w:val="es-ES_tradnl"/>
        </w:rPr>
        <w:t>Tiếp tục thực hiện công</w:t>
      </w:r>
      <w:r w:rsidR="00CC29ED" w:rsidRPr="0028668C">
        <w:rPr>
          <w:sz w:val="28"/>
          <w:szCs w:val="28"/>
          <w:lang w:val="es-ES_tradnl"/>
        </w:rPr>
        <w:t xml:space="preserve"> tác báo cáo tài chính hằng năm của các Quỹ theo đúng quy định hiện hành.</w:t>
      </w:r>
    </w:p>
    <w:p w14:paraId="54DCD3FE" w14:textId="36F3C36C" w:rsidR="00375678" w:rsidRPr="00375678" w:rsidRDefault="00375678" w:rsidP="00713A97">
      <w:pPr>
        <w:spacing w:before="60"/>
        <w:jc w:val="center"/>
        <w:rPr>
          <w:i/>
          <w:sz w:val="28"/>
          <w:szCs w:val="28"/>
          <w:lang w:val="es-ES_tradnl"/>
        </w:rPr>
      </w:pPr>
      <w:r w:rsidRPr="00375678">
        <w:rPr>
          <w:i/>
          <w:sz w:val="28"/>
          <w:szCs w:val="28"/>
          <w:lang w:val="es-ES_tradnl"/>
        </w:rPr>
        <w:t>(Báo cáo này thay thế Báo cáo số 343/BC-UBND ngày 03 tháng 11 năm 2021 của Ủy ban nhân dân tỉnh)</w:t>
      </w:r>
    </w:p>
    <w:p w14:paraId="793BFEC4" w14:textId="657CF0E3" w:rsidR="008C00D3" w:rsidRPr="0028668C" w:rsidRDefault="000C073B" w:rsidP="00713A97">
      <w:pPr>
        <w:spacing w:before="60"/>
        <w:ind w:firstLine="567"/>
        <w:jc w:val="both"/>
        <w:rPr>
          <w:iCs/>
          <w:sz w:val="28"/>
          <w:szCs w:val="28"/>
          <w:lang w:val="es-ES_tradnl"/>
        </w:rPr>
      </w:pPr>
      <w:r w:rsidRPr="0028668C">
        <w:rPr>
          <w:iCs/>
          <w:sz w:val="28"/>
          <w:szCs w:val="28"/>
          <w:lang w:val="es-ES_tradnl"/>
        </w:rPr>
        <w:t>Ủy ban nhân dân tỉnh kính trình Hội đồng nhân dân tỉnh khóa XI</w:t>
      </w:r>
      <w:r w:rsidR="00FA3C63" w:rsidRPr="0028668C">
        <w:rPr>
          <w:iCs/>
          <w:sz w:val="28"/>
          <w:szCs w:val="28"/>
          <w:lang w:val="es-ES_tradnl"/>
        </w:rPr>
        <w:t>I</w:t>
      </w:r>
      <w:r w:rsidRPr="0028668C">
        <w:rPr>
          <w:iCs/>
          <w:sz w:val="28"/>
          <w:szCs w:val="28"/>
          <w:lang w:val="es-ES_tradnl"/>
        </w:rPr>
        <w:t xml:space="preserve">, kỳ họp thứ </w:t>
      </w:r>
      <w:r w:rsidR="00FA3C63" w:rsidRPr="0028668C">
        <w:rPr>
          <w:iCs/>
          <w:sz w:val="28"/>
          <w:szCs w:val="28"/>
          <w:lang w:val="es-ES_tradnl"/>
        </w:rPr>
        <w:t>2</w:t>
      </w:r>
      <w:r w:rsidR="001221E8" w:rsidRPr="0028668C">
        <w:rPr>
          <w:iCs/>
          <w:sz w:val="28"/>
          <w:szCs w:val="28"/>
          <w:lang w:val="es-ES_tradnl"/>
        </w:rPr>
        <w:t xml:space="preserve"> xem xét</w:t>
      </w:r>
      <w:proofErr w:type="gramStart"/>
      <w:r w:rsidRPr="0028668C">
        <w:rPr>
          <w:iCs/>
          <w:sz w:val="28"/>
          <w:szCs w:val="28"/>
          <w:lang w:val="es-ES_tradnl"/>
        </w:rPr>
        <w:t>./</w:t>
      </w:r>
      <w:proofErr w:type="gramEnd"/>
      <w:r w:rsidRPr="0028668C">
        <w:rPr>
          <w:iCs/>
          <w:sz w:val="28"/>
          <w:szCs w:val="28"/>
          <w:lang w:val="es-ES_tradnl"/>
        </w:rPr>
        <w:t>.</w:t>
      </w:r>
    </w:p>
    <w:tbl>
      <w:tblPr>
        <w:tblW w:w="9072" w:type="dxa"/>
        <w:tblInd w:w="108" w:type="dxa"/>
        <w:tblLook w:val="01E0" w:firstRow="1" w:lastRow="1" w:firstColumn="1" w:lastColumn="1" w:noHBand="0" w:noVBand="0"/>
      </w:tblPr>
      <w:tblGrid>
        <w:gridCol w:w="4678"/>
        <w:gridCol w:w="4394"/>
      </w:tblGrid>
      <w:tr w:rsidR="002271FB" w:rsidRPr="00A15F1F" w14:paraId="7E6D520E" w14:textId="77777777" w:rsidTr="00BB095C">
        <w:trPr>
          <w:trHeight w:val="2696"/>
        </w:trPr>
        <w:tc>
          <w:tcPr>
            <w:tcW w:w="4678" w:type="dxa"/>
          </w:tcPr>
          <w:p w14:paraId="28C9024A" w14:textId="77777777" w:rsidR="00CC29ED" w:rsidRPr="0028668C" w:rsidRDefault="00CC29ED" w:rsidP="00AD1939">
            <w:pPr>
              <w:ind w:left="-108"/>
              <w:jc w:val="both"/>
              <w:rPr>
                <w:b/>
                <w:i/>
                <w:lang w:val="es-ES_tradnl"/>
              </w:rPr>
            </w:pPr>
            <w:r w:rsidRPr="0028668C">
              <w:rPr>
                <w:b/>
                <w:i/>
                <w:lang w:val="es-ES_tradnl"/>
              </w:rPr>
              <w:t>Nơi nhận:</w:t>
            </w:r>
          </w:p>
          <w:p w14:paraId="4269937F" w14:textId="3B02A135" w:rsidR="00CC29ED" w:rsidRPr="0028668C" w:rsidRDefault="00CC29ED" w:rsidP="00AD1939">
            <w:pPr>
              <w:ind w:left="-108"/>
              <w:jc w:val="both"/>
              <w:rPr>
                <w:sz w:val="22"/>
                <w:szCs w:val="22"/>
                <w:lang w:val="es-ES_tradnl"/>
              </w:rPr>
            </w:pPr>
            <w:r w:rsidRPr="0028668C">
              <w:rPr>
                <w:sz w:val="22"/>
                <w:szCs w:val="22"/>
                <w:lang w:val="es-ES_tradnl"/>
              </w:rPr>
              <w:t>- Thường trực Tỉnh ủy;</w:t>
            </w:r>
          </w:p>
          <w:p w14:paraId="674C34F8" w14:textId="77777777" w:rsidR="00CC29ED" w:rsidRPr="0028668C" w:rsidRDefault="00CC29ED" w:rsidP="00AD1939">
            <w:pPr>
              <w:ind w:left="-108"/>
              <w:jc w:val="both"/>
              <w:rPr>
                <w:sz w:val="22"/>
                <w:szCs w:val="22"/>
                <w:lang w:val="es-ES_tradnl"/>
              </w:rPr>
            </w:pPr>
            <w:r w:rsidRPr="0028668C">
              <w:rPr>
                <w:sz w:val="22"/>
                <w:szCs w:val="22"/>
                <w:lang w:val="es-ES_tradnl"/>
              </w:rPr>
              <w:t>- Thường trực HĐND tỉnh;</w:t>
            </w:r>
          </w:p>
          <w:p w14:paraId="7198F305" w14:textId="77777777" w:rsidR="00CC29ED" w:rsidRPr="0028668C" w:rsidRDefault="00CC29ED" w:rsidP="00AD1939">
            <w:pPr>
              <w:ind w:left="-108"/>
              <w:jc w:val="both"/>
              <w:rPr>
                <w:sz w:val="22"/>
                <w:szCs w:val="22"/>
                <w:lang w:val="es-ES_tradnl"/>
              </w:rPr>
            </w:pPr>
            <w:r w:rsidRPr="0028668C">
              <w:rPr>
                <w:sz w:val="22"/>
                <w:szCs w:val="22"/>
                <w:lang w:val="es-ES_tradnl"/>
              </w:rPr>
              <w:t>- Đoàn ĐBQH tỉnh;</w:t>
            </w:r>
          </w:p>
          <w:p w14:paraId="13AFFA5C" w14:textId="77777777" w:rsidR="00CC29ED" w:rsidRPr="0028668C" w:rsidRDefault="00CC29ED" w:rsidP="00AD1939">
            <w:pPr>
              <w:ind w:left="-108"/>
              <w:jc w:val="both"/>
              <w:rPr>
                <w:sz w:val="22"/>
                <w:szCs w:val="22"/>
                <w:lang w:val="es-ES_tradnl"/>
              </w:rPr>
            </w:pPr>
            <w:r w:rsidRPr="0028668C">
              <w:rPr>
                <w:sz w:val="22"/>
                <w:szCs w:val="22"/>
                <w:lang w:val="es-ES_tradnl"/>
              </w:rPr>
              <w:t>- Chủ tịch, các PCT UBND tỉnh;</w:t>
            </w:r>
          </w:p>
          <w:p w14:paraId="6124527E" w14:textId="77777777" w:rsidR="00CC29ED" w:rsidRPr="0028668C" w:rsidRDefault="00CC29ED" w:rsidP="00AD1939">
            <w:pPr>
              <w:ind w:left="-108"/>
              <w:jc w:val="both"/>
              <w:rPr>
                <w:sz w:val="22"/>
                <w:szCs w:val="22"/>
                <w:lang w:val="es-ES_tradnl"/>
              </w:rPr>
            </w:pPr>
            <w:r w:rsidRPr="0028668C">
              <w:rPr>
                <w:sz w:val="22"/>
                <w:szCs w:val="22"/>
                <w:lang w:val="es-ES_tradnl"/>
              </w:rPr>
              <w:t>- Uỷ ban MTTQVN tỉnh;</w:t>
            </w:r>
          </w:p>
          <w:p w14:paraId="497D9905" w14:textId="77777777" w:rsidR="00CC29ED" w:rsidRPr="0028668C" w:rsidRDefault="00CC29ED" w:rsidP="00AD1939">
            <w:pPr>
              <w:ind w:left="-108"/>
              <w:jc w:val="both"/>
              <w:rPr>
                <w:sz w:val="22"/>
                <w:szCs w:val="22"/>
                <w:lang w:val="es-ES_tradnl"/>
              </w:rPr>
            </w:pPr>
            <w:r w:rsidRPr="0028668C">
              <w:rPr>
                <w:sz w:val="22"/>
                <w:szCs w:val="22"/>
                <w:lang w:val="es-ES_tradnl"/>
              </w:rPr>
              <w:t>- Ban Kinh tế - Ngân sách HĐND tỉnh;</w:t>
            </w:r>
          </w:p>
          <w:p w14:paraId="72642835" w14:textId="77777777" w:rsidR="00CC29ED" w:rsidRPr="0028668C" w:rsidRDefault="00CC29ED" w:rsidP="00AD1939">
            <w:pPr>
              <w:ind w:left="-108"/>
              <w:jc w:val="both"/>
              <w:rPr>
                <w:sz w:val="22"/>
                <w:szCs w:val="22"/>
                <w:lang w:val="es-ES_tradnl"/>
              </w:rPr>
            </w:pPr>
            <w:r w:rsidRPr="0028668C">
              <w:rPr>
                <w:sz w:val="22"/>
                <w:szCs w:val="22"/>
                <w:lang w:val="es-ES_tradnl"/>
              </w:rPr>
              <w:t>- Văn phòng HĐND tỉnh;</w:t>
            </w:r>
          </w:p>
          <w:p w14:paraId="07677FD4" w14:textId="77777777" w:rsidR="00CC29ED" w:rsidRPr="0028668C" w:rsidRDefault="00CC29ED" w:rsidP="00AD1939">
            <w:pPr>
              <w:ind w:left="-108"/>
              <w:jc w:val="both"/>
              <w:rPr>
                <w:sz w:val="22"/>
                <w:szCs w:val="22"/>
                <w:lang w:val="es-ES_tradnl"/>
              </w:rPr>
            </w:pPr>
            <w:r w:rsidRPr="0028668C">
              <w:rPr>
                <w:sz w:val="22"/>
                <w:szCs w:val="22"/>
                <w:lang w:val="es-ES_tradnl"/>
              </w:rPr>
              <w:t>- Văn phòng UBND tỉnh;</w:t>
            </w:r>
          </w:p>
          <w:p w14:paraId="0F6A7372" w14:textId="709BA81B" w:rsidR="00CC29ED" w:rsidRPr="0028668C" w:rsidRDefault="00CC29ED" w:rsidP="00AD1939">
            <w:pPr>
              <w:ind w:left="-108"/>
              <w:jc w:val="both"/>
              <w:rPr>
                <w:sz w:val="22"/>
                <w:szCs w:val="22"/>
                <w:lang w:val="es-ES_tradnl"/>
              </w:rPr>
            </w:pPr>
            <w:r w:rsidRPr="0028668C">
              <w:rPr>
                <w:sz w:val="22"/>
                <w:szCs w:val="22"/>
                <w:lang w:val="es-ES_tradnl"/>
              </w:rPr>
              <w:t>- Sở Tài chính;</w:t>
            </w:r>
          </w:p>
          <w:p w14:paraId="01DBA420" w14:textId="715D9930" w:rsidR="00CC29ED" w:rsidRPr="00A15F1F" w:rsidRDefault="000C073B" w:rsidP="00AD1939">
            <w:pPr>
              <w:ind w:left="-108"/>
              <w:jc w:val="both"/>
              <w:rPr>
                <w:lang w:val="es-ES_tradnl"/>
              </w:rPr>
            </w:pPr>
            <w:r w:rsidRPr="00A15F1F">
              <w:rPr>
                <w:sz w:val="22"/>
                <w:szCs w:val="22"/>
                <w:lang w:val="es-ES_tradnl"/>
              </w:rPr>
              <w:t>- Lưu: VT, KTTH</w:t>
            </w:r>
            <w:r w:rsidR="00BB095C" w:rsidRPr="00A15F1F">
              <w:rPr>
                <w:sz w:val="22"/>
                <w:szCs w:val="22"/>
                <w:lang w:val="es-ES_tradnl"/>
              </w:rPr>
              <w:t>.NTS.</w:t>
            </w:r>
          </w:p>
        </w:tc>
        <w:tc>
          <w:tcPr>
            <w:tcW w:w="4394" w:type="dxa"/>
          </w:tcPr>
          <w:p w14:paraId="62340C95" w14:textId="77777777" w:rsidR="00CC29ED" w:rsidRPr="00A15F1F" w:rsidRDefault="00CC29ED" w:rsidP="00BB095C">
            <w:pPr>
              <w:jc w:val="center"/>
              <w:rPr>
                <w:b/>
                <w:sz w:val="28"/>
                <w:szCs w:val="28"/>
                <w:lang w:val="es-ES_tradnl"/>
              </w:rPr>
            </w:pPr>
            <w:r w:rsidRPr="00A15F1F">
              <w:rPr>
                <w:b/>
                <w:sz w:val="28"/>
                <w:szCs w:val="28"/>
                <w:lang w:val="es-ES_tradnl"/>
              </w:rPr>
              <w:t>TM. ỦY BAN NHÂN DÂN</w:t>
            </w:r>
          </w:p>
          <w:p w14:paraId="01D38960" w14:textId="37E7455D" w:rsidR="00CC29ED" w:rsidRPr="00A15F1F" w:rsidRDefault="00CC29ED" w:rsidP="00BB095C">
            <w:pPr>
              <w:jc w:val="center"/>
              <w:rPr>
                <w:b/>
                <w:sz w:val="28"/>
                <w:szCs w:val="28"/>
                <w:lang w:val="es-ES_tradnl"/>
              </w:rPr>
            </w:pPr>
            <w:r w:rsidRPr="00A15F1F">
              <w:rPr>
                <w:b/>
                <w:sz w:val="28"/>
                <w:szCs w:val="28"/>
                <w:lang w:val="es-ES_tradnl"/>
              </w:rPr>
              <w:t>KT. CHỦ TỊCH</w:t>
            </w:r>
          </w:p>
          <w:p w14:paraId="2B49D8CE" w14:textId="77777777" w:rsidR="00CC29ED" w:rsidRPr="00A15F1F" w:rsidRDefault="00CC29ED" w:rsidP="00BB095C">
            <w:pPr>
              <w:jc w:val="center"/>
              <w:rPr>
                <w:b/>
                <w:sz w:val="28"/>
                <w:szCs w:val="28"/>
                <w:lang w:val="es-ES_tradnl"/>
              </w:rPr>
            </w:pPr>
            <w:r w:rsidRPr="00A15F1F">
              <w:rPr>
                <w:b/>
                <w:sz w:val="28"/>
                <w:szCs w:val="28"/>
                <w:lang w:val="es-ES_tradnl"/>
              </w:rPr>
              <w:t>PHÓ CHỦ TỊCH</w:t>
            </w:r>
          </w:p>
          <w:p w14:paraId="4C619503" w14:textId="492613D6" w:rsidR="00BB095C" w:rsidRPr="00A15F1F" w:rsidRDefault="00A15F1F" w:rsidP="00BB095C">
            <w:pPr>
              <w:jc w:val="center"/>
              <w:rPr>
                <w:b/>
                <w:sz w:val="28"/>
                <w:szCs w:val="28"/>
                <w:lang w:val="es-ES_tradnl"/>
              </w:rPr>
            </w:pPr>
            <w:r>
              <w:rPr>
                <w:b/>
                <w:sz w:val="28"/>
                <w:szCs w:val="28"/>
                <w:lang w:val="es-ES_tradnl"/>
              </w:rPr>
              <w:t>Đã ký</w:t>
            </w:r>
            <w:bookmarkStart w:id="0" w:name="_GoBack"/>
            <w:bookmarkEnd w:id="0"/>
          </w:p>
          <w:p w14:paraId="24A9E84D" w14:textId="77777777" w:rsidR="00BB095C" w:rsidRPr="00A15F1F" w:rsidRDefault="00BB095C" w:rsidP="00F24F2E">
            <w:pPr>
              <w:jc w:val="center"/>
              <w:rPr>
                <w:b/>
                <w:sz w:val="28"/>
                <w:szCs w:val="28"/>
                <w:lang w:val="es-ES_tradnl"/>
              </w:rPr>
            </w:pPr>
          </w:p>
          <w:p w14:paraId="233D36D5" w14:textId="5E814565" w:rsidR="00CC29ED" w:rsidRPr="00A15F1F" w:rsidRDefault="00BB095C" w:rsidP="00BB095C">
            <w:pPr>
              <w:jc w:val="center"/>
              <w:rPr>
                <w:b/>
                <w:sz w:val="28"/>
                <w:szCs w:val="28"/>
                <w:lang w:val="es-ES_tradnl"/>
              </w:rPr>
            </w:pPr>
            <w:r w:rsidRPr="00A15F1F">
              <w:rPr>
                <w:b/>
                <w:sz w:val="28"/>
                <w:szCs w:val="28"/>
                <w:lang w:val="es-ES_tradnl"/>
              </w:rPr>
              <w:t>Nguyễn</w:t>
            </w:r>
            <w:r w:rsidR="00FB0B9E" w:rsidRPr="00A15F1F">
              <w:rPr>
                <w:b/>
                <w:sz w:val="28"/>
                <w:szCs w:val="28"/>
                <w:lang w:val="es-ES_tradnl"/>
              </w:rPr>
              <w:t xml:space="preserve"> </w:t>
            </w:r>
            <w:r w:rsidRPr="00A15F1F">
              <w:rPr>
                <w:b/>
                <w:sz w:val="28"/>
                <w:szCs w:val="28"/>
                <w:lang w:val="es-ES_tradnl"/>
              </w:rPr>
              <w:t>Ngọc</w:t>
            </w:r>
            <w:r w:rsidR="00FB0B9E" w:rsidRPr="00A15F1F">
              <w:rPr>
                <w:b/>
                <w:sz w:val="28"/>
                <w:szCs w:val="28"/>
                <w:lang w:val="es-ES_tradnl"/>
              </w:rPr>
              <w:t xml:space="preserve"> </w:t>
            </w:r>
            <w:r w:rsidRPr="00A15F1F">
              <w:rPr>
                <w:b/>
                <w:sz w:val="28"/>
                <w:szCs w:val="28"/>
                <w:lang w:val="es-ES_tradnl"/>
              </w:rPr>
              <w:t>Sâm</w:t>
            </w:r>
          </w:p>
        </w:tc>
      </w:tr>
    </w:tbl>
    <w:p w14:paraId="72F6CBAF" w14:textId="77777777" w:rsidR="00EF15C7" w:rsidRPr="00A15F1F" w:rsidRDefault="00EF15C7" w:rsidP="00A423C8">
      <w:pPr>
        <w:rPr>
          <w:lang w:val="es-ES_tradnl"/>
        </w:rPr>
      </w:pPr>
    </w:p>
    <w:sectPr w:rsidR="00EF15C7" w:rsidRPr="00A15F1F" w:rsidSect="00713A97">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48722" w14:textId="77777777" w:rsidR="00F5665C" w:rsidRDefault="00F5665C" w:rsidP="00CC29ED">
      <w:r>
        <w:separator/>
      </w:r>
    </w:p>
  </w:endnote>
  <w:endnote w:type="continuationSeparator" w:id="0">
    <w:p w14:paraId="33729D65" w14:textId="77777777" w:rsidR="00F5665C" w:rsidRDefault="00F5665C" w:rsidP="00CC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8C1E" w14:textId="42087324" w:rsidR="00261705" w:rsidRPr="00261705" w:rsidRDefault="00261705">
    <w:pPr>
      <w:pStyle w:val="Footer"/>
      <w:jc w:val="right"/>
      <w:rPr>
        <w:sz w:val="26"/>
        <w:szCs w:val="26"/>
      </w:rPr>
    </w:pPr>
  </w:p>
  <w:p w14:paraId="60D39E8B" w14:textId="77777777" w:rsidR="00261705" w:rsidRDefault="0026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32D6F" w14:textId="77777777" w:rsidR="00F5665C" w:rsidRDefault="00F5665C" w:rsidP="00CC29ED">
      <w:r>
        <w:separator/>
      </w:r>
    </w:p>
  </w:footnote>
  <w:footnote w:type="continuationSeparator" w:id="0">
    <w:p w14:paraId="1C9FDA12" w14:textId="77777777" w:rsidR="00F5665C" w:rsidRDefault="00F5665C" w:rsidP="00CC29ED">
      <w:r>
        <w:continuationSeparator/>
      </w:r>
    </w:p>
  </w:footnote>
  <w:footnote w:id="1">
    <w:p w14:paraId="37BB0D22" w14:textId="77777777" w:rsidR="00CC29ED" w:rsidRPr="0093132C" w:rsidRDefault="00CC29ED" w:rsidP="003D1DC5">
      <w:pPr>
        <w:pStyle w:val="FootnoteText"/>
        <w:jc w:val="both"/>
        <w:rPr>
          <w:sz w:val="18"/>
          <w:szCs w:val="18"/>
        </w:rPr>
      </w:pPr>
      <w:r w:rsidRPr="0093132C">
        <w:rPr>
          <w:sz w:val="18"/>
          <w:szCs w:val="18"/>
          <w:vertAlign w:val="superscript"/>
          <w:lang w:val="es-ES_tradnl"/>
        </w:rPr>
        <w:t>(</w:t>
      </w:r>
      <w:r w:rsidRPr="0093132C">
        <w:rPr>
          <w:rStyle w:val="FootnoteReference"/>
          <w:sz w:val="18"/>
          <w:szCs w:val="18"/>
        </w:rPr>
        <w:footnoteRef/>
      </w:r>
      <w:r w:rsidRPr="0093132C">
        <w:rPr>
          <w:sz w:val="18"/>
          <w:szCs w:val="18"/>
          <w:vertAlign w:val="superscript"/>
          <w:lang w:val="es-ES_tradnl"/>
        </w:rPr>
        <w:t>)</w:t>
      </w:r>
      <w:r w:rsidRPr="0093132C">
        <w:rPr>
          <w:sz w:val="18"/>
          <w:szCs w:val="18"/>
          <w:lang w:val="es-ES_tradnl"/>
        </w:rPr>
        <w:t xml:space="preserve"> Như: </w:t>
      </w:r>
      <w:r w:rsidRPr="0093132C">
        <w:rPr>
          <w:sz w:val="18"/>
          <w:szCs w:val="18"/>
          <w:lang w:val="vi-VN"/>
        </w:rPr>
        <w:t xml:space="preserve">Quỹ </w:t>
      </w:r>
      <w:r w:rsidRPr="0093132C">
        <w:rPr>
          <w:sz w:val="18"/>
          <w:szCs w:val="18"/>
        </w:rPr>
        <w:t>Đ</w:t>
      </w:r>
      <w:r w:rsidRPr="0093132C">
        <w:rPr>
          <w:sz w:val="18"/>
          <w:szCs w:val="18"/>
          <w:lang w:val="vi-VN"/>
        </w:rPr>
        <w:t xml:space="preserve">ầu tư phát triển tỉnh, Quỹ </w:t>
      </w:r>
      <w:r w:rsidRPr="0093132C">
        <w:rPr>
          <w:sz w:val="18"/>
          <w:szCs w:val="18"/>
        </w:rPr>
        <w:t>P</w:t>
      </w:r>
      <w:r w:rsidRPr="0093132C">
        <w:rPr>
          <w:sz w:val="18"/>
          <w:szCs w:val="18"/>
          <w:lang w:val="vi-VN"/>
        </w:rPr>
        <w:t xml:space="preserve">hát triển đất tỉnh, Quỹ Bảo vệ và phát triển rừng; Quỹ </w:t>
      </w:r>
      <w:r w:rsidRPr="0093132C">
        <w:rPr>
          <w:sz w:val="18"/>
          <w:szCs w:val="18"/>
        </w:rPr>
        <w:t>V</w:t>
      </w:r>
      <w:r w:rsidRPr="0093132C">
        <w:rPr>
          <w:sz w:val="18"/>
          <w:szCs w:val="18"/>
          <w:lang w:val="vi-VN"/>
        </w:rPr>
        <w:t xml:space="preserve">ì người nghèo, Quỹ </w:t>
      </w:r>
      <w:r w:rsidRPr="0093132C">
        <w:rPr>
          <w:sz w:val="18"/>
          <w:szCs w:val="18"/>
        </w:rPr>
        <w:t>C</w:t>
      </w:r>
      <w:r w:rsidRPr="0093132C">
        <w:rPr>
          <w:sz w:val="18"/>
          <w:szCs w:val="18"/>
          <w:lang w:val="vi-VN"/>
        </w:rPr>
        <w:t xml:space="preserve">ứu trợ, Quỹ </w:t>
      </w:r>
      <w:r w:rsidRPr="0093132C">
        <w:rPr>
          <w:sz w:val="18"/>
          <w:szCs w:val="18"/>
        </w:rPr>
        <w:t>H</w:t>
      </w:r>
      <w:r w:rsidRPr="0093132C">
        <w:rPr>
          <w:sz w:val="18"/>
          <w:szCs w:val="18"/>
          <w:lang w:val="vi-VN"/>
        </w:rPr>
        <w:t xml:space="preserve">ỗ trợ nạn nhân chất độc da cam/đioxin, Quỹ </w:t>
      </w:r>
      <w:r w:rsidRPr="0093132C">
        <w:rPr>
          <w:sz w:val="18"/>
          <w:szCs w:val="18"/>
        </w:rPr>
        <w:t>B</w:t>
      </w:r>
      <w:r w:rsidRPr="0093132C">
        <w:rPr>
          <w:sz w:val="18"/>
          <w:szCs w:val="18"/>
          <w:lang w:val="vi-VN"/>
        </w:rPr>
        <w:t xml:space="preserve">ảo trợ trẻ em, Quỹ </w:t>
      </w:r>
      <w:r w:rsidRPr="0093132C">
        <w:rPr>
          <w:sz w:val="18"/>
          <w:szCs w:val="18"/>
        </w:rPr>
        <w:t>K</w:t>
      </w:r>
      <w:r w:rsidRPr="0093132C">
        <w:rPr>
          <w:sz w:val="18"/>
          <w:szCs w:val="18"/>
          <w:lang w:val="vi-VN"/>
        </w:rPr>
        <w:t>hám chữa bệnh người nghèo…</w:t>
      </w:r>
    </w:p>
  </w:footnote>
  <w:footnote w:id="2">
    <w:p w14:paraId="1DF399CF" w14:textId="77777777" w:rsidR="00CC29ED" w:rsidRPr="0093132C" w:rsidRDefault="00CC29ED" w:rsidP="003D1DC5">
      <w:pPr>
        <w:pStyle w:val="FootnoteText"/>
        <w:jc w:val="both"/>
        <w:rPr>
          <w:sz w:val="18"/>
          <w:szCs w:val="18"/>
        </w:rPr>
      </w:pPr>
      <w:r w:rsidRPr="0093132C">
        <w:rPr>
          <w:sz w:val="18"/>
          <w:szCs w:val="18"/>
          <w:vertAlign w:val="superscript"/>
        </w:rPr>
        <w:t>(</w:t>
      </w:r>
      <w:r w:rsidRPr="0093132C">
        <w:rPr>
          <w:rStyle w:val="FootnoteReference"/>
          <w:sz w:val="18"/>
          <w:szCs w:val="18"/>
        </w:rPr>
        <w:footnoteRef/>
      </w:r>
      <w:r w:rsidRPr="0093132C">
        <w:rPr>
          <w:sz w:val="18"/>
          <w:szCs w:val="18"/>
          <w:vertAlign w:val="superscript"/>
        </w:rPr>
        <w:t>)</w:t>
      </w:r>
      <w:r w:rsidRPr="0093132C">
        <w:rPr>
          <w:sz w:val="18"/>
          <w:szCs w:val="18"/>
          <w:lang w:val="vi-VN"/>
        </w:rPr>
        <w:t xml:space="preserve"> Quỹ </w:t>
      </w:r>
      <w:r w:rsidRPr="0093132C">
        <w:rPr>
          <w:sz w:val="18"/>
          <w:szCs w:val="18"/>
        </w:rPr>
        <w:t>Vì người khuyết tật và trẻ em mồ côi</w:t>
      </w:r>
      <w:r w:rsidRPr="0093132C">
        <w:rPr>
          <w:sz w:val="18"/>
          <w:szCs w:val="18"/>
          <w:lang w:val="vi-VN"/>
        </w:rPr>
        <w:t xml:space="preserve">, </w:t>
      </w:r>
      <w:r w:rsidRPr="0093132C">
        <w:rPr>
          <w:sz w:val="18"/>
          <w:szCs w:val="18"/>
        </w:rPr>
        <w:t>Quỹ</w:t>
      </w:r>
      <w:r w:rsidRPr="0093132C">
        <w:rPr>
          <w:sz w:val="18"/>
          <w:szCs w:val="18"/>
          <w:lang w:val="vi-VN"/>
        </w:rPr>
        <w:t xml:space="preserve"> </w:t>
      </w:r>
      <w:r w:rsidRPr="0093132C">
        <w:rPr>
          <w:sz w:val="18"/>
          <w:szCs w:val="18"/>
        </w:rPr>
        <w:t>C</w:t>
      </w:r>
      <w:r w:rsidRPr="0093132C">
        <w:rPr>
          <w:sz w:val="18"/>
          <w:szCs w:val="18"/>
          <w:lang w:val="vi-VN"/>
        </w:rPr>
        <w:t xml:space="preserve">ứu trợ, </w:t>
      </w:r>
      <w:r w:rsidRPr="0093132C">
        <w:rPr>
          <w:sz w:val="18"/>
          <w:szCs w:val="18"/>
        </w:rPr>
        <w:t>Quỹ</w:t>
      </w:r>
      <w:r w:rsidRPr="0093132C">
        <w:rPr>
          <w:sz w:val="18"/>
          <w:szCs w:val="18"/>
          <w:lang w:val="vi-VN"/>
        </w:rPr>
        <w:t xml:space="preserve"> </w:t>
      </w:r>
      <w:r w:rsidRPr="0093132C">
        <w:rPr>
          <w:sz w:val="18"/>
          <w:szCs w:val="18"/>
        </w:rPr>
        <w:t>H</w:t>
      </w:r>
      <w:r w:rsidRPr="0093132C">
        <w:rPr>
          <w:sz w:val="18"/>
          <w:szCs w:val="18"/>
          <w:lang w:val="vi-VN"/>
        </w:rPr>
        <w:t>ỗ trợ nạn nhân chất độc da cam/Đioxin...</w:t>
      </w:r>
      <w:r w:rsidRPr="0093132C">
        <w:rPr>
          <w:sz w:val="18"/>
          <w:szCs w:val="18"/>
        </w:rPr>
        <w:t>.</w:t>
      </w:r>
    </w:p>
  </w:footnote>
  <w:footnote w:id="3">
    <w:p w14:paraId="2560667A" w14:textId="77777777" w:rsidR="00CC29ED" w:rsidRPr="0093132C" w:rsidRDefault="00CC29ED" w:rsidP="003D1DC5">
      <w:pPr>
        <w:pStyle w:val="FootnoteText"/>
        <w:jc w:val="both"/>
        <w:rPr>
          <w:sz w:val="18"/>
          <w:szCs w:val="18"/>
          <w:lang w:val="vi-VN"/>
        </w:rPr>
      </w:pPr>
      <w:r w:rsidRPr="0093132C">
        <w:rPr>
          <w:sz w:val="18"/>
          <w:szCs w:val="18"/>
          <w:vertAlign w:val="superscript"/>
        </w:rPr>
        <w:t>(</w:t>
      </w:r>
      <w:r w:rsidRPr="0093132C">
        <w:rPr>
          <w:rStyle w:val="FootnoteReference"/>
          <w:sz w:val="18"/>
          <w:szCs w:val="18"/>
        </w:rPr>
        <w:footnoteRef/>
      </w:r>
      <w:r w:rsidRPr="0093132C">
        <w:rPr>
          <w:sz w:val="18"/>
          <w:szCs w:val="18"/>
          <w:vertAlign w:val="superscript"/>
        </w:rPr>
        <w:t>)</w:t>
      </w:r>
      <w:r w:rsidRPr="0093132C">
        <w:rPr>
          <w:sz w:val="18"/>
          <w:szCs w:val="18"/>
          <w:lang w:val="vi-VN"/>
        </w:rPr>
        <w:t xml:space="preserve"> Quỹ Đầu tư phát triển, </w:t>
      </w:r>
      <w:r w:rsidRPr="0093132C">
        <w:rPr>
          <w:sz w:val="18"/>
          <w:szCs w:val="18"/>
        </w:rPr>
        <w:t>Quỹ</w:t>
      </w:r>
      <w:r w:rsidRPr="0093132C">
        <w:rPr>
          <w:sz w:val="18"/>
          <w:szCs w:val="18"/>
          <w:lang w:val="vi-VN"/>
        </w:rPr>
        <w:t xml:space="preserve"> </w:t>
      </w:r>
      <w:r w:rsidRPr="0093132C">
        <w:rPr>
          <w:sz w:val="18"/>
          <w:szCs w:val="18"/>
        </w:rPr>
        <w:t>P</w:t>
      </w:r>
      <w:r w:rsidRPr="0093132C">
        <w:rPr>
          <w:sz w:val="18"/>
          <w:szCs w:val="18"/>
          <w:lang w:val="vi-VN"/>
        </w:rPr>
        <w:t>hát triển đất</w:t>
      </w:r>
      <w:r w:rsidRPr="0093132C">
        <w:rPr>
          <w:sz w:val="18"/>
          <w:szCs w:val="18"/>
        </w:rPr>
        <w:t>, Quỹ Hỗ trợ phát triển hợp tác xã, Quỹ Hỗ trợ nông dân</w:t>
      </w:r>
      <w:r w:rsidRPr="0093132C">
        <w:rPr>
          <w:sz w:val="18"/>
          <w:szCs w:val="18"/>
          <w:lang w:val="vi-VN"/>
        </w:rPr>
        <w:t>...</w:t>
      </w:r>
    </w:p>
  </w:footnote>
  <w:footnote w:id="4">
    <w:p w14:paraId="0C4CB8CB" w14:textId="1A65FB66" w:rsidR="006A6C36" w:rsidRPr="00A15F1F" w:rsidRDefault="008B1A51" w:rsidP="003D1DC5">
      <w:pPr>
        <w:pStyle w:val="FootnoteText"/>
        <w:jc w:val="both"/>
        <w:rPr>
          <w:sz w:val="18"/>
          <w:szCs w:val="18"/>
          <w:lang w:val="vi-VN"/>
        </w:rPr>
      </w:pPr>
      <w:r w:rsidRPr="00A15F1F">
        <w:rPr>
          <w:sz w:val="18"/>
          <w:szCs w:val="18"/>
          <w:vertAlign w:val="superscript"/>
          <w:lang w:val="vi-VN"/>
        </w:rPr>
        <w:t>(</w:t>
      </w:r>
      <w:r w:rsidR="006A6C36" w:rsidRPr="00B97AC8">
        <w:rPr>
          <w:rStyle w:val="FootnoteReference"/>
          <w:sz w:val="18"/>
          <w:szCs w:val="18"/>
        </w:rPr>
        <w:footnoteRef/>
      </w:r>
      <w:r w:rsidRPr="00A15F1F">
        <w:rPr>
          <w:sz w:val="18"/>
          <w:szCs w:val="18"/>
          <w:vertAlign w:val="superscript"/>
          <w:lang w:val="vi-VN"/>
        </w:rPr>
        <w:t>)</w:t>
      </w:r>
      <w:r w:rsidR="006A6C36" w:rsidRPr="00A15F1F">
        <w:rPr>
          <w:sz w:val="18"/>
          <w:szCs w:val="18"/>
          <w:lang w:val="vi-VN"/>
        </w:rPr>
        <w:t xml:space="preserve"> Trong đó: Quỹ bảo vệ và phát triển rừng tỉnh chi từ nguồn năm trước chuyển sang là 205.524 triệu đồng</w:t>
      </w:r>
    </w:p>
  </w:footnote>
  <w:footnote w:id="5">
    <w:p w14:paraId="7E482CB6" w14:textId="59448DEB" w:rsidR="00CC29ED" w:rsidRPr="00B97AC8" w:rsidRDefault="00CC29ED" w:rsidP="003D1DC5">
      <w:pPr>
        <w:pStyle w:val="FootnoteText"/>
        <w:jc w:val="both"/>
        <w:rPr>
          <w:spacing w:val="-4"/>
          <w:sz w:val="18"/>
          <w:szCs w:val="18"/>
          <w:lang w:val="vi-VN"/>
        </w:rPr>
      </w:pPr>
      <w:r w:rsidRPr="00A15F1F">
        <w:rPr>
          <w:spacing w:val="-4"/>
          <w:sz w:val="18"/>
          <w:szCs w:val="18"/>
          <w:vertAlign w:val="superscript"/>
          <w:lang w:val="vi-VN"/>
        </w:rPr>
        <w:t>(</w:t>
      </w:r>
      <w:r w:rsidRPr="00B97AC8">
        <w:rPr>
          <w:rStyle w:val="FootnoteReference"/>
          <w:spacing w:val="-4"/>
          <w:sz w:val="18"/>
          <w:szCs w:val="18"/>
        </w:rPr>
        <w:footnoteRef/>
      </w:r>
      <w:r w:rsidRPr="00A15F1F">
        <w:rPr>
          <w:spacing w:val="-4"/>
          <w:sz w:val="18"/>
          <w:szCs w:val="18"/>
          <w:vertAlign w:val="superscript"/>
          <w:lang w:val="vi-VN"/>
        </w:rPr>
        <w:t>)</w:t>
      </w:r>
      <w:r w:rsidRPr="00B97AC8">
        <w:rPr>
          <w:spacing w:val="-4"/>
          <w:sz w:val="18"/>
          <w:szCs w:val="18"/>
          <w:lang w:val="vi-VN"/>
        </w:rPr>
        <w:t xml:space="preserve"> Trong đó: Quỹ </w:t>
      </w:r>
      <w:r w:rsidR="006A6C36" w:rsidRPr="00A15F1F">
        <w:rPr>
          <w:spacing w:val="-4"/>
          <w:sz w:val="18"/>
          <w:szCs w:val="18"/>
          <w:lang w:val="vi-VN"/>
        </w:rPr>
        <w:t>bảo vệ và phát triển</w:t>
      </w:r>
      <w:r w:rsidRPr="00B97AC8">
        <w:rPr>
          <w:spacing w:val="-4"/>
          <w:sz w:val="18"/>
          <w:szCs w:val="18"/>
          <w:lang w:val="vi-VN"/>
        </w:rPr>
        <w:t xml:space="preserve"> rừng </w:t>
      </w:r>
      <w:r w:rsidR="006A6C36" w:rsidRPr="00A15F1F">
        <w:rPr>
          <w:spacing w:val="-4"/>
          <w:sz w:val="18"/>
          <w:szCs w:val="18"/>
          <w:lang w:val="vi-VN"/>
        </w:rPr>
        <w:t>85.100</w:t>
      </w:r>
      <w:r w:rsidR="0093132C" w:rsidRPr="00A15F1F">
        <w:rPr>
          <w:spacing w:val="-4"/>
          <w:sz w:val="18"/>
          <w:szCs w:val="18"/>
          <w:lang w:val="vi-VN"/>
        </w:rPr>
        <w:t xml:space="preserve"> </w:t>
      </w:r>
      <w:r w:rsidRPr="00B97AC8">
        <w:rPr>
          <w:spacing w:val="-4"/>
          <w:sz w:val="18"/>
          <w:szCs w:val="18"/>
          <w:lang w:val="vi-VN"/>
        </w:rPr>
        <w:t xml:space="preserve">triệu đồng, Quỹ Đầu tư phát triển </w:t>
      </w:r>
      <w:r w:rsidR="006A6C36" w:rsidRPr="00A15F1F">
        <w:rPr>
          <w:spacing w:val="-4"/>
          <w:sz w:val="18"/>
          <w:szCs w:val="18"/>
          <w:lang w:val="vi-VN"/>
        </w:rPr>
        <w:t xml:space="preserve">183.194 </w:t>
      </w:r>
      <w:r w:rsidRPr="00B97AC8">
        <w:rPr>
          <w:spacing w:val="-4"/>
          <w:sz w:val="18"/>
          <w:szCs w:val="18"/>
          <w:lang w:val="vi-VN"/>
        </w:rPr>
        <w:t xml:space="preserve">triệu đồng, Quỹ Phát triển đất </w:t>
      </w:r>
      <w:r w:rsidR="006A6C36" w:rsidRPr="00A15F1F">
        <w:rPr>
          <w:spacing w:val="-4"/>
          <w:sz w:val="18"/>
          <w:szCs w:val="18"/>
          <w:lang w:val="vi-VN"/>
        </w:rPr>
        <w:t xml:space="preserve">9.550 </w:t>
      </w:r>
      <w:r w:rsidRPr="00B97AC8">
        <w:rPr>
          <w:spacing w:val="-4"/>
          <w:sz w:val="18"/>
          <w:szCs w:val="18"/>
          <w:lang w:val="vi-VN"/>
        </w:rPr>
        <w:t xml:space="preserve">triệu đồng, Quỹ Phòng chống thiên tai </w:t>
      </w:r>
      <w:r w:rsidR="006A6C36" w:rsidRPr="00A15F1F">
        <w:rPr>
          <w:spacing w:val="-4"/>
          <w:sz w:val="18"/>
          <w:szCs w:val="18"/>
          <w:lang w:val="vi-VN"/>
        </w:rPr>
        <w:t xml:space="preserve">5.940 </w:t>
      </w:r>
      <w:r w:rsidRPr="00B97AC8">
        <w:rPr>
          <w:spacing w:val="-4"/>
          <w:sz w:val="18"/>
          <w:szCs w:val="18"/>
          <w:lang w:val="vi-VN"/>
        </w:rPr>
        <w:t xml:space="preserve">triệu đồng, Quỹ Hỗ trợ nông dân </w:t>
      </w:r>
      <w:r w:rsidR="006A6C36" w:rsidRPr="00A15F1F">
        <w:rPr>
          <w:spacing w:val="-4"/>
          <w:sz w:val="18"/>
          <w:szCs w:val="18"/>
          <w:lang w:val="vi-VN"/>
        </w:rPr>
        <w:t xml:space="preserve">10.390 </w:t>
      </w:r>
      <w:r w:rsidRPr="00B97AC8">
        <w:rPr>
          <w:spacing w:val="-4"/>
          <w:sz w:val="18"/>
          <w:szCs w:val="18"/>
          <w:lang w:val="vi-VN"/>
        </w:rPr>
        <w:t>triệu đồng….</w:t>
      </w:r>
    </w:p>
  </w:footnote>
  <w:footnote w:id="6">
    <w:p w14:paraId="20ABFC00" w14:textId="63CDA5C8" w:rsidR="00AA0B54" w:rsidRPr="00A15F1F" w:rsidRDefault="008B1A51" w:rsidP="003D1DC5">
      <w:pPr>
        <w:pStyle w:val="FootnoteText"/>
        <w:jc w:val="both"/>
        <w:rPr>
          <w:sz w:val="18"/>
          <w:szCs w:val="18"/>
          <w:lang w:val="vi-VN"/>
        </w:rPr>
      </w:pPr>
      <w:r w:rsidRPr="00A15F1F">
        <w:rPr>
          <w:sz w:val="18"/>
          <w:szCs w:val="18"/>
          <w:vertAlign w:val="superscript"/>
          <w:lang w:val="vi-VN"/>
        </w:rPr>
        <w:t>(</w:t>
      </w:r>
      <w:r w:rsidR="00AA0B54" w:rsidRPr="00B97AC8">
        <w:rPr>
          <w:rStyle w:val="FootnoteReference"/>
          <w:sz w:val="18"/>
          <w:szCs w:val="18"/>
        </w:rPr>
        <w:footnoteRef/>
      </w:r>
      <w:r w:rsidRPr="00A15F1F">
        <w:rPr>
          <w:sz w:val="18"/>
          <w:szCs w:val="18"/>
          <w:vertAlign w:val="superscript"/>
          <w:lang w:val="vi-VN"/>
        </w:rPr>
        <w:t>)</w:t>
      </w:r>
      <w:r w:rsidR="00AA0B54" w:rsidRPr="00A15F1F">
        <w:rPr>
          <w:sz w:val="18"/>
          <w:szCs w:val="18"/>
          <w:lang w:val="vi-VN"/>
        </w:rPr>
        <w:t xml:space="preserve"> Ngân hàng nông nghiệp và phát triển nông thôn Việt Nam chi nhánh Kon Tum (Agribank): 5.000.000</w:t>
      </w:r>
      <w:r w:rsidR="00560314" w:rsidRPr="00A15F1F">
        <w:rPr>
          <w:sz w:val="18"/>
          <w:szCs w:val="18"/>
          <w:lang w:val="vi-VN"/>
        </w:rPr>
        <w:t xml:space="preserve"> </w:t>
      </w:r>
      <w:r w:rsidR="00AA0B54" w:rsidRPr="00A15F1F">
        <w:rPr>
          <w:sz w:val="18"/>
          <w:szCs w:val="18"/>
          <w:lang w:val="vi-VN"/>
        </w:rPr>
        <w:t>đ</w:t>
      </w:r>
      <w:r w:rsidR="00560314" w:rsidRPr="00A15F1F">
        <w:rPr>
          <w:sz w:val="18"/>
          <w:szCs w:val="18"/>
          <w:lang w:val="vi-VN"/>
        </w:rPr>
        <w:t>ồng</w:t>
      </w:r>
      <w:r w:rsidR="00AA0B54" w:rsidRPr="00A15F1F">
        <w:rPr>
          <w:sz w:val="18"/>
          <w:szCs w:val="18"/>
          <w:lang w:val="vi-VN"/>
        </w:rPr>
        <w:t xml:space="preserve">; Công ty TNHH MTV Cao su Kon Tum: 10.000.000 </w:t>
      </w:r>
      <w:r w:rsidR="00560314" w:rsidRPr="00A15F1F">
        <w:rPr>
          <w:sz w:val="18"/>
          <w:szCs w:val="18"/>
          <w:lang w:val="vi-VN"/>
        </w:rPr>
        <w:t>đồng</w:t>
      </w:r>
      <w:r w:rsidR="00AA0B54" w:rsidRPr="00A15F1F">
        <w:rPr>
          <w:sz w:val="18"/>
          <w:szCs w:val="18"/>
          <w:lang w:val="vi-VN"/>
        </w:rPr>
        <w:t>; Chi nhánh xăng dầu Kon Tum: 5.000.000</w:t>
      </w:r>
      <w:r w:rsidR="00560314" w:rsidRPr="00A15F1F">
        <w:rPr>
          <w:sz w:val="18"/>
          <w:szCs w:val="18"/>
          <w:lang w:val="vi-VN"/>
        </w:rPr>
        <w:t xml:space="preserve"> </w:t>
      </w:r>
      <w:r w:rsidR="00AA0B54" w:rsidRPr="00A15F1F">
        <w:rPr>
          <w:sz w:val="18"/>
          <w:szCs w:val="18"/>
          <w:lang w:val="vi-VN"/>
        </w:rPr>
        <w:t>đ</w:t>
      </w:r>
      <w:r w:rsidR="00560314" w:rsidRPr="00A15F1F">
        <w:rPr>
          <w:sz w:val="18"/>
          <w:szCs w:val="18"/>
          <w:lang w:val="vi-VN"/>
        </w:rPr>
        <w:t>ồng</w:t>
      </w:r>
      <w:r w:rsidR="00AA0B54" w:rsidRPr="00A15F1F">
        <w:rPr>
          <w:sz w:val="18"/>
          <w:szCs w:val="18"/>
          <w:lang w:val="vi-VN"/>
        </w:rPr>
        <w:t>.</w:t>
      </w:r>
    </w:p>
  </w:footnote>
  <w:footnote w:id="7">
    <w:p w14:paraId="05AF784E" w14:textId="6F07BC1A" w:rsidR="00AA0B54" w:rsidRPr="00A15F1F" w:rsidRDefault="008B1A51" w:rsidP="003D1DC5">
      <w:pPr>
        <w:pStyle w:val="FootnoteText"/>
        <w:jc w:val="both"/>
        <w:rPr>
          <w:sz w:val="18"/>
          <w:szCs w:val="18"/>
          <w:lang w:val="vi-VN"/>
        </w:rPr>
      </w:pPr>
      <w:r w:rsidRPr="00A15F1F">
        <w:rPr>
          <w:sz w:val="18"/>
          <w:szCs w:val="18"/>
          <w:vertAlign w:val="superscript"/>
          <w:lang w:val="vi-VN"/>
        </w:rPr>
        <w:t>(</w:t>
      </w:r>
      <w:r w:rsidR="00AA0B54" w:rsidRPr="00B97AC8">
        <w:rPr>
          <w:rStyle w:val="FootnoteReference"/>
          <w:sz w:val="18"/>
          <w:szCs w:val="18"/>
        </w:rPr>
        <w:footnoteRef/>
      </w:r>
      <w:r w:rsidRPr="00A15F1F">
        <w:rPr>
          <w:sz w:val="18"/>
          <w:szCs w:val="18"/>
          <w:vertAlign w:val="superscript"/>
          <w:lang w:val="vi-VN"/>
        </w:rPr>
        <w:t>)</w:t>
      </w:r>
      <w:r w:rsidR="00AA0B54" w:rsidRPr="00A15F1F">
        <w:rPr>
          <w:sz w:val="18"/>
          <w:szCs w:val="18"/>
          <w:lang w:val="vi-VN"/>
        </w:rPr>
        <w:t xml:space="preserve"> Ngày </w:t>
      </w:r>
      <w:r w:rsidR="008351EB" w:rsidRPr="00A15F1F">
        <w:rPr>
          <w:sz w:val="18"/>
          <w:szCs w:val="18"/>
          <w:lang w:val="vi-VN"/>
        </w:rPr>
        <w:t>0</w:t>
      </w:r>
      <w:r w:rsidR="00AA0B54" w:rsidRPr="00A15F1F">
        <w:rPr>
          <w:sz w:val="18"/>
          <w:szCs w:val="18"/>
          <w:lang w:val="vi-VN"/>
        </w:rPr>
        <w:t>5</w:t>
      </w:r>
      <w:r w:rsidR="008351EB" w:rsidRPr="00A15F1F">
        <w:rPr>
          <w:sz w:val="18"/>
          <w:szCs w:val="18"/>
          <w:lang w:val="vi-VN"/>
        </w:rPr>
        <w:t xml:space="preserve"> tháng </w:t>
      </w:r>
      <w:r w:rsidR="00AA0B54" w:rsidRPr="00A15F1F">
        <w:rPr>
          <w:sz w:val="18"/>
          <w:szCs w:val="18"/>
          <w:lang w:val="vi-VN"/>
        </w:rPr>
        <w:t>7</w:t>
      </w:r>
      <w:r w:rsidR="008351EB" w:rsidRPr="00A15F1F">
        <w:rPr>
          <w:sz w:val="18"/>
          <w:szCs w:val="18"/>
          <w:lang w:val="vi-VN"/>
        </w:rPr>
        <w:t xml:space="preserve"> năm </w:t>
      </w:r>
      <w:r w:rsidR="00AA0B54" w:rsidRPr="00A15F1F">
        <w:rPr>
          <w:sz w:val="18"/>
          <w:szCs w:val="18"/>
          <w:lang w:val="vi-VN"/>
        </w:rPr>
        <w:t xml:space="preserve">2020 trao tặng 40 xe đạp và 02 hợp đồng bảo hiểm nhân thọ. Trong đó buổi sáng tổ chức buổi lễ tại thành phố Kon Tum trao tặng 20 xe đạp và 02 hợp đồng BHNT, buổi chiều trao tặng tại 2 huyện Kon Rẫy và Kon Plong mỗi huyện 10 chiếc xe đạp. Tổng trị giá hiện vật là 114.000.00 đồng </w:t>
      </w:r>
      <w:r w:rsidR="00AA0B54" w:rsidRPr="00A15F1F">
        <w:rPr>
          <w:i/>
          <w:iCs/>
          <w:sz w:val="18"/>
          <w:szCs w:val="18"/>
          <w:lang w:val="vi-VN"/>
        </w:rPr>
        <w:t xml:space="preserve">(trong đó 02 hợp đồng BHNT trị giá 40 triệu đồng, xe đạp trị giá 74.000.000 đồng/ 40chiếc) </w:t>
      </w:r>
      <w:r w:rsidR="00AA0B54" w:rsidRPr="00A15F1F">
        <w:rPr>
          <w:sz w:val="18"/>
          <w:szCs w:val="18"/>
          <w:lang w:val="vi-VN"/>
        </w:rPr>
        <w:t xml:space="preserve">nguồn Công </w:t>
      </w:r>
      <w:r w:rsidR="00713A08" w:rsidRPr="00A15F1F">
        <w:rPr>
          <w:sz w:val="18"/>
          <w:szCs w:val="18"/>
          <w:lang w:val="vi-VN"/>
        </w:rPr>
        <w:t>t</w:t>
      </w:r>
      <w:r w:rsidR="00AA0B54" w:rsidRPr="00A15F1F">
        <w:rPr>
          <w:sz w:val="18"/>
          <w:szCs w:val="18"/>
          <w:lang w:val="vi-VN"/>
        </w:rPr>
        <w:t>y TNHH BHNT AIA Việt Nam tài trợ.</w:t>
      </w:r>
    </w:p>
  </w:footnote>
  <w:footnote w:id="8">
    <w:p w14:paraId="6F45F8D2" w14:textId="712A2796" w:rsidR="00614304" w:rsidRPr="00A15F1F" w:rsidRDefault="00713A97" w:rsidP="003D1DC5">
      <w:pPr>
        <w:pStyle w:val="FootnoteText"/>
        <w:jc w:val="both"/>
        <w:rPr>
          <w:sz w:val="18"/>
          <w:szCs w:val="18"/>
          <w:lang w:val="vi-VN"/>
        </w:rPr>
      </w:pPr>
      <w:r w:rsidRPr="00A15F1F">
        <w:rPr>
          <w:sz w:val="18"/>
          <w:szCs w:val="18"/>
          <w:vertAlign w:val="superscript"/>
          <w:lang w:val="vi-VN"/>
        </w:rPr>
        <w:t>(</w:t>
      </w:r>
      <w:r w:rsidR="00614304" w:rsidRPr="00B97AC8">
        <w:rPr>
          <w:rStyle w:val="FootnoteReference"/>
          <w:sz w:val="18"/>
          <w:szCs w:val="18"/>
        </w:rPr>
        <w:footnoteRef/>
      </w:r>
      <w:r w:rsidRPr="00A15F1F">
        <w:rPr>
          <w:sz w:val="18"/>
          <w:szCs w:val="18"/>
          <w:vertAlign w:val="superscript"/>
          <w:lang w:val="vi-VN"/>
        </w:rPr>
        <w:t>)</w:t>
      </w:r>
      <w:r w:rsidR="00614304" w:rsidRPr="00A15F1F">
        <w:rPr>
          <w:sz w:val="18"/>
          <w:szCs w:val="18"/>
          <w:lang w:val="vi-VN"/>
        </w:rPr>
        <w:t xml:space="preserve"> Công ty TNHH MTV Xổ số Kiến thiết Kon Tum tài trợ hằng năm 50.000.000 đồng</w:t>
      </w:r>
    </w:p>
  </w:footnote>
  <w:footnote w:id="9">
    <w:p w14:paraId="43711FAE" w14:textId="4D0A6F69" w:rsidR="00614304" w:rsidRPr="00A15F1F" w:rsidRDefault="00713A97" w:rsidP="003D1DC5">
      <w:pPr>
        <w:pStyle w:val="FootnoteText"/>
        <w:jc w:val="both"/>
        <w:rPr>
          <w:sz w:val="18"/>
          <w:szCs w:val="18"/>
          <w:lang w:val="vi-VN"/>
        </w:rPr>
      </w:pPr>
      <w:r w:rsidRPr="00A15F1F">
        <w:rPr>
          <w:sz w:val="18"/>
          <w:szCs w:val="18"/>
          <w:vertAlign w:val="superscript"/>
          <w:lang w:val="vi-VN"/>
        </w:rPr>
        <w:t>(</w:t>
      </w:r>
      <w:r w:rsidR="00614304" w:rsidRPr="00B97AC8">
        <w:rPr>
          <w:rStyle w:val="FootnoteReference"/>
          <w:sz w:val="18"/>
          <w:szCs w:val="18"/>
        </w:rPr>
        <w:footnoteRef/>
      </w:r>
      <w:r w:rsidRPr="00A15F1F">
        <w:rPr>
          <w:sz w:val="18"/>
          <w:szCs w:val="18"/>
          <w:vertAlign w:val="superscript"/>
          <w:lang w:val="vi-VN"/>
        </w:rPr>
        <w:t>)</w:t>
      </w:r>
      <w:r w:rsidR="00614304" w:rsidRPr="00A15F1F">
        <w:rPr>
          <w:sz w:val="18"/>
          <w:szCs w:val="18"/>
          <w:lang w:val="vi-VN"/>
        </w:rPr>
        <w:t xml:space="preserve"> Tập đoàn Viễn thông Quân đội Viettel tài trợ Chương trình học bổng “Vì em hiếu học” giai đoạn 2014-2024 cho các xã đặc biệt khó khăn (bình quân hằng năm tài trợ 54 xã, mỗi xã, phường được 10 suất học bổng, mỗi suất trị giá 1.000.000</w:t>
      </w:r>
      <w:r w:rsidR="00CE506A" w:rsidRPr="00A15F1F">
        <w:rPr>
          <w:sz w:val="18"/>
          <w:szCs w:val="18"/>
          <w:lang w:val="vi-VN"/>
        </w:rPr>
        <w:t xml:space="preserve"> </w:t>
      </w:r>
      <w:r w:rsidR="00614304" w:rsidRPr="00A15F1F">
        <w:rPr>
          <w:sz w:val="18"/>
          <w:szCs w:val="18"/>
          <w:lang w:val="vi-VN"/>
        </w:rPr>
        <w:t>đ</w:t>
      </w:r>
      <w:r w:rsidR="00CE506A" w:rsidRPr="00A15F1F">
        <w:rPr>
          <w:sz w:val="18"/>
          <w:szCs w:val="18"/>
          <w:lang w:val="vi-VN"/>
        </w:rPr>
        <w:t>ồng</w:t>
      </w:r>
      <w:r w:rsidR="00614304" w:rsidRPr="00A15F1F">
        <w:rPr>
          <w:sz w:val="18"/>
          <w:szCs w:val="18"/>
          <w:lang w:val="vi-VN"/>
        </w:rPr>
        <w:t>, tổng trị giá 540.000.000</w:t>
      </w:r>
      <w:r w:rsidR="00CE506A" w:rsidRPr="00A15F1F">
        <w:rPr>
          <w:sz w:val="18"/>
          <w:szCs w:val="18"/>
          <w:lang w:val="vi-VN"/>
        </w:rPr>
        <w:t xml:space="preserve"> </w:t>
      </w:r>
      <w:r w:rsidR="00614304" w:rsidRPr="00A15F1F">
        <w:rPr>
          <w:sz w:val="18"/>
          <w:szCs w:val="18"/>
          <w:lang w:val="vi-VN"/>
        </w:rPr>
        <w:t>đ</w:t>
      </w:r>
      <w:r w:rsidR="00CE506A" w:rsidRPr="00A15F1F">
        <w:rPr>
          <w:sz w:val="18"/>
          <w:szCs w:val="18"/>
          <w:lang w:val="vi-VN"/>
        </w:rPr>
        <w:t>ồng</w:t>
      </w:r>
      <w:r w:rsidR="00614304" w:rsidRPr="00A15F1F">
        <w:rPr>
          <w:sz w:val="18"/>
          <w:szCs w:val="18"/>
          <w:lang w:val="vi-VN"/>
        </w:rPr>
        <w:t>/năm)</w:t>
      </w:r>
    </w:p>
  </w:footnote>
  <w:footnote w:id="10">
    <w:p w14:paraId="5D1D2715" w14:textId="35D3D1D7" w:rsidR="00614304" w:rsidRPr="00A15F1F" w:rsidRDefault="00713A97" w:rsidP="003D1DC5">
      <w:pPr>
        <w:pStyle w:val="FootnoteText"/>
        <w:jc w:val="both"/>
        <w:rPr>
          <w:sz w:val="18"/>
          <w:szCs w:val="18"/>
          <w:lang w:val="vi-VN"/>
        </w:rPr>
      </w:pPr>
      <w:r w:rsidRPr="00A15F1F">
        <w:rPr>
          <w:sz w:val="18"/>
          <w:szCs w:val="18"/>
          <w:vertAlign w:val="superscript"/>
          <w:lang w:val="vi-VN"/>
        </w:rPr>
        <w:t>(</w:t>
      </w:r>
      <w:r w:rsidR="00614304" w:rsidRPr="00B97AC8">
        <w:rPr>
          <w:rStyle w:val="FootnoteReference"/>
          <w:sz w:val="18"/>
          <w:szCs w:val="18"/>
        </w:rPr>
        <w:footnoteRef/>
      </w:r>
      <w:r w:rsidRPr="00A15F1F">
        <w:rPr>
          <w:sz w:val="18"/>
          <w:szCs w:val="18"/>
          <w:vertAlign w:val="superscript"/>
          <w:lang w:val="vi-VN"/>
        </w:rPr>
        <w:t>)</w:t>
      </w:r>
      <w:r w:rsidR="00614304" w:rsidRPr="00A15F1F">
        <w:rPr>
          <w:sz w:val="18"/>
          <w:szCs w:val="18"/>
          <w:lang w:val="vi-VN"/>
        </w:rPr>
        <w:t xml:space="preserve"> Công ty TNHH Phú Mỹ Hưng, Thành phố Hồ Chí Minh tài trợ hằng năm 50.000.000 đồng</w:t>
      </w:r>
    </w:p>
  </w:footnote>
  <w:footnote w:id="11">
    <w:p w14:paraId="33009B19" w14:textId="5FB9F1C8" w:rsidR="00CC29ED" w:rsidRPr="0093132C" w:rsidRDefault="00CC29ED" w:rsidP="003D1DC5">
      <w:pPr>
        <w:pStyle w:val="FootnoteText"/>
        <w:jc w:val="both"/>
        <w:rPr>
          <w:spacing w:val="-2"/>
          <w:sz w:val="18"/>
          <w:szCs w:val="18"/>
          <w:lang w:val="vi-VN"/>
        </w:rPr>
      </w:pPr>
      <w:r w:rsidRPr="00A15F1F">
        <w:rPr>
          <w:spacing w:val="-2"/>
          <w:sz w:val="18"/>
          <w:szCs w:val="18"/>
          <w:vertAlign w:val="superscript"/>
          <w:lang w:val="vi-VN"/>
        </w:rPr>
        <w:t>(</w:t>
      </w:r>
      <w:r w:rsidRPr="0093132C">
        <w:rPr>
          <w:rStyle w:val="FootnoteReference"/>
          <w:spacing w:val="-2"/>
          <w:sz w:val="18"/>
          <w:szCs w:val="18"/>
        </w:rPr>
        <w:footnoteRef/>
      </w:r>
      <w:r w:rsidRPr="00A15F1F">
        <w:rPr>
          <w:spacing w:val="-2"/>
          <w:sz w:val="18"/>
          <w:szCs w:val="18"/>
          <w:vertAlign w:val="superscript"/>
          <w:lang w:val="vi-VN"/>
        </w:rPr>
        <w:t>)</w:t>
      </w:r>
      <w:r w:rsidRPr="0093132C">
        <w:rPr>
          <w:spacing w:val="-2"/>
          <w:sz w:val="18"/>
          <w:szCs w:val="18"/>
          <w:lang w:val="vi-VN"/>
        </w:rPr>
        <w:t xml:space="preserve"> Trong đó: </w:t>
      </w:r>
      <w:r w:rsidRPr="00A15F1F">
        <w:rPr>
          <w:spacing w:val="-2"/>
          <w:sz w:val="18"/>
          <w:szCs w:val="18"/>
          <w:lang w:val="vi-VN"/>
        </w:rPr>
        <w:t>Quỹ Đầu tư phát triển bổ sung từ nguồn ngân</w:t>
      </w:r>
      <w:r w:rsidR="00943E30" w:rsidRPr="00A15F1F">
        <w:rPr>
          <w:spacing w:val="-2"/>
          <w:sz w:val="18"/>
          <w:szCs w:val="18"/>
          <w:lang w:val="vi-VN"/>
        </w:rPr>
        <w:t xml:space="preserve"> sách nhà nước khoảng 10.000 triệu </w:t>
      </w:r>
      <w:r w:rsidRPr="00A15F1F">
        <w:rPr>
          <w:spacing w:val="-2"/>
          <w:sz w:val="18"/>
          <w:szCs w:val="18"/>
          <w:lang w:val="vi-VN"/>
        </w:rPr>
        <w:t>đ</w:t>
      </w:r>
      <w:r w:rsidR="00943E30" w:rsidRPr="00A15F1F">
        <w:rPr>
          <w:spacing w:val="-2"/>
          <w:sz w:val="18"/>
          <w:szCs w:val="18"/>
          <w:lang w:val="vi-VN"/>
        </w:rPr>
        <w:t>ồng</w:t>
      </w:r>
      <w:r w:rsidRPr="00A15F1F">
        <w:rPr>
          <w:spacing w:val="-2"/>
          <w:sz w:val="18"/>
          <w:szCs w:val="18"/>
          <w:lang w:val="vi-VN"/>
        </w:rPr>
        <w:t>;</w:t>
      </w:r>
      <w:r w:rsidRPr="0093132C">
        <w:rPr>
          <w:spacing w:val="-2"/>
          <w:sz w:val="18"/>
          <w:szCs w:val="18"/>
          <w:lang w:val="vi-VN"/>
        </w:rPr>
        <w:t xml:space="preserve"> Quỹ KCB người nghèo tỉnh dự kiến bổ sung từ nguồn NSNN khoảng </w:t>
      </w:r>
      <w:r w:rsidR="00C80D7B" w:rsidRPr="00A15F1F">
        <w:rPr>
          <w:spacing w:val="-2"/>
          <w:sz w:val="18"/>
          <w:szCs w:val="18"/>
          <w:lang w:val="vi-VN"/>
        </w:rPr>
        <w:t>14.500</w:t>
      </w:r>
      <w:r w:rsidR="00943E30">
        <w:rPr>
          <w:spacing w:val="-2"/>
          <w:sz w:val="18"/>
          <w:szCs w:val="18"/>
          <w:lang w:val="vi-VN"/>
        </w:rPr>
        <w:t xml:space="preserve"> tr</w:t>
      </w:r>
      <w:r w:rsidR="00943E30" w:rsidRPr="00A15F1F">
        <w:rPr>
          <w:spacing w:val="-2"/>
          <w:sz w:val="18"/>
          <w:szCs w:val="18"/>
          <w:lang w:val="vi-VN"/>
        </w:rPr>
        <w:t xml:space="preserve">iệu </w:t>
      </w:r>
      <w:r w:rsidRPr="0093132C">
        <w:rPr>
          <w:spacing w:val="-2"/>
          <w:sz w:val="18"/>
          <w:szCs w:val="18"/>
          <w:lang w:val="vi-VN"/>
        </w:rPr>
        <w:t>đ</w:t>
      </w:r>
      <w:r w:rsidR="00943E30" w:rsidRPr="00A15F1F">
        <w:rPr>
          <w:spacing w:val="-2"/>
          <w:sz w:val="18"/>
          <w:szCs w:val="18"/>
          <w:lang w:val="vi-VN"/>
        </w:rPr>
        <w:t>ồng</w:t>
      </w:r>
      <w:r w:rsidRPr="0093132C">
        <w:rPr>
          <w:spacing w:val="-2"/>
          <w:sz w:val="18"/>
          <w:szCs w:val="18"/>
          <w:lang w:val="vi-VN"/>
        </w:rPr>
        <w:t xml:space="preserve">; Quỹ hộ trợ </w:t>
      </w:r>
      <w:r w:rsidR="00C80D7B" w:rsidRPr="00A15F1F">
        <w:rPr>
          <w:spacing w:val="-2"/>
          <w:sz w:val="18"/>
          <w:szCs w:val="18"/>
          <w:lang w:val="vi-VN"/>
        </w:rPr>
        <w:t>phát triển hợp tác xã</w:t>
      </w:r>
      <w:r w:rsidRPr="0093132C">
        <w:rPr>
          <w:spacing w:val="-2"/>
          <w:sz w:val="18"/>
          <w:szCs w:val="18"/>
          <w:lang w:val="vi-VN"/>
        </w:rPr>
        <w:t xml:space="preserve"> dự kiến bổ sung </w:t>
      </w:r>
      <w:r w:rsidR="00C80D7B" w:rsidRPr="00A15F1F">
        <w:rPr>
          <w:spacing w:val="-2"/>
          <w:sz w:val="18"/>
          <w:szCs w:val="18"/>
          <w:lang w:val="vi-VN"/>
        </w:rPr>
        <w:t>14.000</w:t>
      </w:r>
      <w:r w:rsidR="00943E30">
        <w:rPr>
          <w:spacing w:val="-2"/>
          <w:sz w:val="18"/>
          <w:szCs w:val="18"/>
          <w:lang w:val="vi-VN"/>
        </w:rPr>
        <w:t xml:space="preserve"> tr</w:t>
      </w:r>
      <w:r w:rsidR="00943E30" w:rsidRPr="00A15F1F">
        <w:rPr>
          <w:spacing w:val="-2"/>
          <w:sz w:val="18"/>
          <w:szCs w:val="18"/>
          <w:lang w:val="vi-VN"/>
        </w:rPr>
        <w:t xml:space="preserve">iệu </w:t>
      </w:r>
      <w:r w:rsidRPr="0093132C">
        <w:rPr>
          <w:spacing w:val="-2"/>
          <w:sz w:val="18"/>
          <w:szCs w:val="18"/>
          <w:lang w:val="vi-VN"/>
        </w:rPr>
        <w:t>đ</w:t>
      </w:r>
      <w:r w:rsidR="00943E30" w:rsidRPr="00A15F1F">
        <w:rPr>
          <w:spacing w:val="-2"/>
          <w:sz w:val="18"/>
          <w:szCs w:val="18"/>
          <w:lang w:val="vi-VN"/>
        </w:rPr>
        <w:t>ồng</w:t>
      </w:r>
      <w:r w:rsidRPr="0093132C">
        <w:rPr>
          <w:spacing w:val="-2"/>
          <w:sz w:val="18"/>
          <w:szCs w:val="18"/>
          <w:lang w:val="vi-VN"/>
        </w:rPr>
        <w:t xml:space="preserve"> để </w:t>
      </w:r>
      <w:r w:rsidR="00C80D7B" w:rsidRPr="00A15F1F">
        <w:rPr>
          <w:spacing w:val="-2"/>
          <w:sz w:val="18"/>
          <w:szCs w:val="18"/>
          <w:lang w:val="vi-VN"/>
        </w:rPr>
        <w:t xml:space="preserve">bổ sung vào vốn điều lệ theo quy định tại Điều 15, Nghị định số 45/2021/NĐ-CP </w:t>
      </w:r>
      <w:r w:rsidR="00FA3C63" w:rsidRPr="00A15F1F">
        <w:rPr>
          <w:spacing w:val="-2"/>
          <w:sz w:val="18"/>
          <w:szCs w:val="18"/>
          <w:lang w:val="vi-VN"/>
        </w:rPr>
        <w:t>ngày 31/3/2021 của Chính phủ</w:t>
      </w:r>
      <w:r w:rsidRPr="0093132C">
        <w:rPr>
          <w:spacing w:val="-2"/>
          <w:sz w:val="18"/>
          <w:szCs w:val="18"/>
          <w:lang w:val="vi-VN"/>
        </w:rPr>
        <w:t>.</w:t>
      </w:r>
    </w:p>
  </w:footnote>
  <w:footnote w:id="12">
    <w:p w14:paraId="394ACB13" w14:textId="6D734D57" w:rsidR="00CC29ED" w:rsidRPr="0093132C" w:rsidRDefault="00CC29ED" w:rsidP="003D1DC5">
      <w:pPr>
        <w:pStyle w:val="FootnoteText"/>
        <w:jc w:val="both"/>
        <w:rPr>
          <w:sz w:val="18"/>
          <w:szCs w:val="18"/>
          <w:lang w:val="vi-VN"/>
        </w:rPr>
      </w:pPr>
      <w:r w:rsidRPr="00A15F1F">
        <w:rPr>
          <w:sz w:val="18"/>
          <w:szCs w:val="18"/>
          <w:vertAlign w:val="superscript"/>
          <w:lang w:val="vi-VN"/>
        </w:rPr>
        <w:t>(</w:t>
      </w:r>
      <w:r w:rsidRPr="0093132C">
        <w:rPr>
          <w:rStyle w:val="FootnoteReference"/>
          <w:sz w:val="18"/>
          <w:szCs w:val="18"/>
        </w:rPr>
        <w:footnoteRef/>
      </w:r>
      <w:r w:rsidRPr="00A15F1F">
        <w:rPr>
          <w:sz w:val="18"/>
          <w:szCs w:val="18"/>
          <w:vertAlign w:val="superscript"/>
          <w:lang w:val="vi-VN"/>
        </w:rPr>
        <w:t>)</w:t>
      </w:r>
      <w:r w:rsidRPr="0093132C">
        <w:rPr>
          <w:sz w:val="18"/>
          <w:szCs w:val="18"/>
          <w:lang w:val="vi-VN"/>
        </w:rPr>
        <w:t xml:space="preserve"> Trong đó: Quỹ bảo vệ phát triển rừng tỉnh dự kiến thu tiền dịch vụ môi trường rừng </w:t>
      </w:r>
      <w:r w:rsidR="00FA3C63" w:rsidRPr="00FA3C63">
        <w:rPr>
          <w:sz w:val="18"/>
          <w:szCs w:val="18"/>
          <w:lang w:val="vi-VN"/>
        </w:rPr>
        <w:t>310.100</w:t>
      </w:r>
      <w:r w:rsidRPr="0093132C">
        <w:rPr>
          <w:sz w:val="18"/>
          <w:szCs w:val="18"/>
          <w:lang w:val="vi-VN"/>
        </w:rPr>
        <w:t xml:space="preserve">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41226"/>
      <w:docPartObj>
        <w:docPartGallery w:val="Page Numbers (Top of Page)"/>
        <w:docPartUnique/>
      </w:docPartObj>
    </w:sdtPr>
    <w:sdtEndPr>
      <w:rPr>
        <w:noProof/>
      </w:rPr>
    </w:sdtEndPr>
    <w:sdtContent>
      <w:p w14:paraId="04729FA1" w14:textId="36FF6755" w:rsidR="0094238C" w:rsidRDefault="0094238C">
        <w:pPr>
          <w:pStyle w:val="Header"/>
          <w:jc w:val="center"/>
        </w:pPr>
        <w:r>
          <w:fldChar w:fldCharType="begin"/>
        </w:r>
        <w:r>
          <w:instrText xml:space="preserve"> PAGE   \* MERGEFORMAT </w:instrText>
        </w:r>
        <w:r>
          <w:fldChar w:fldCharType="separate"/>
        </w:r>
        <w:r w:rsidR="00A15F1F">
          <w:rPr>
            <w:noProof/>
          </w:rPr>
          <w:t>6</w:t>
        </w:r>
        <w:r>
          <w:rPr>
            <w:noProof/>
          </w:rPr>
          <w:fldChar w:fldCharType="end"/>
        </w:r>
      </w:p>
    </w:sdtContent>
  </w:sdt>
  <w:p w14:paraId="45503947" w14:textId="77777777" w:rsidR="0094238C" w:rsidRDefault="00942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DE"/>
    <w:rsid w:val="00044D90"/>
    <w:rsid w:val="000A5FFE"/>
    <w:rsid w:val="000A6B5E"/>
    <w:rsid w:val="000C073B"/>
    <w:rsid w:val="000D4D6A"/>
    <w:rsid w:val="000F74FF"/>
    <w:rsid w:val="001221E8"/>
    <w:rsid w:val="001A6776"/>
    <w:rsid w:val="001A6A63"/>
    <w:rsid w:val="001B0AA6"/>
    <w:rsid w:val="001E5BD7"/>
    <w:rsid w:val="001F32FF"/>
    <w:rsid w:val="0020330A"/>
    <w:rsid w:val="00212EA5"/>
    <w:rsid w:val="00220817"/>
    <w:rsid w:val="0022355D"/>
    <w:rsid w:val="002271FB"/>
    <w:rsid w:val="002313BB"/>
    <w:rsid w:val="00244A90"/>
    <w:rsid w:val="00261705"/>
    <w:rsid w:val="0028668C"/>
    <w:rsid w:val="00294263"/>
    <w:rsid w:val="00310D65"/>
    <w:rsid w:val="003464A2"/>
    <w:rsid w:val="00375678"/>
    <w:rsid w:val="003D1DC5"/>
    <w:rsid w:val="003D2770"/>
    <w:rsid w:val="003D5BA6"/>
    <w:rsid w:val="003F5283"/>
    <w:rsid w:val="004049E7"/>
    <w:rsid w:val="0043000F"/>
    <w:rsid w:val="00487B97"/>
    <w:rsid w:val="004A7CC2"/>
    <w:rsid w:val="004D1478"/>
    <w:rsid w:val="004F6441"/>
    <w:rsid w:val="00530780"/>
    <w:rsid w:val="00560314"/>
    <w:rsid w:val="00581FC3"/>
    <w:rsid w:val="005A554C"/>
    <w:rsid w:val="005B4114"/>
    <w:rsid w:val="005B45A7"/>
    <w:rsid w:val="005C48AE"/>
    <w:rsid w:val="005C5981"/>
    <w:rsid w:val="00614304"/>
    <w:rsid w:val="0063749B"/>
    <w:rsid w:val="006A39A3"/>
    <w:rsid w:val="006A6C36"/>
    <w:rsid w:val="006C29FE"/>
    <w:rsid w:val="00713A08"/>
    <w:rsid w:val="00713A97"/>
    <w:rsid w:val="00717CEF"/>
    <w:rsid w:val="00747271"/>
    <w:rsid w:val="00774B58"/>
    <w:rsid w:val="007C3D4A"/>
    <w:rsid w:val="007F40B0"/>
    <w:rsid w:val="008351EB"/>
    <w:rsid w:val="0087021E"/>
    <w:rsid w:val="00895327"/>
    <w:rsid w:val="00897F79"/>
    <w:rsid w:val="008A7FD8"/>
    <w:rsid w:val="008B1A51"/>
    <w:rsid w:val="008B345B"/>
    <w:rsid w:val="008C00D3"/>
    <w:rsid w:val="008C2418"/>
    <w:rsid w:val="008F7D75"/>
    <w:rsid w:val="00902557"/>
    <w:rsid w:val="0092275A"/>
    <w:rsid w:val="0093132C"/>
    <w:rsid w:val="009344A7"/>
    <w:rsid w:val="009365D8"/>
    <w:rsid w:val="0094238C"/>
    <w:rsid w:val="00943E30"/>
    <w:rsid w:val="00960D50"/>
    <w:rsid w:val="009C4F02"/>
    <w:rsid w:val="009D0523"/>
    <w:rsid w:val="00A15F1F"/>
    <w:rsid w:val="00A26DEB"/>
    <w:rsid w:val="00A423C8"/>
    <w:rsid w:val="00A7335A"/>
    <w:rsid w:val="00A927D9"/>
    <w:rsid w:val="00AA0B54"/>
    <w:rsid w:val="00AA4700"/>
    <w:rsid w:val="00AD147B"/>
    <w:rsid w:val="00AD256D"/>
    <w:rsid w:val="00AF2080"/>
    <w:rsid w:val="00AF535A"/>
    <w:rsid w:val="00B106E6"/>
    <w:rsid w:val="00B27DD8"/>
    <w:rsid w:val="00B34E2A"/>
    <w:rsid w:val="00B35F49"/>
    <w:rsid w:val="00B64F24"/>
    <w:rsid w:val="00B747EA"/>
    <w:rsid w:val="00B96BC8"/>
    <w:rsid w:val="00B97AC8"/>
    <w:rsid w:val="00BA4917"/>
    <w:rsid w:val="00BA5254"/>
    <w:rsid w:val="00BB095C"/>
    <w:rsid w:val="00BB64F2"/>
    <w:rsid w:val="00BD0328"/>
    <w:rsid w:val="00BD70F7"/>
    <w:rsid w:val="00BE559D"/>
    <w:rsid w:val="00C012F9"/>
    <w:rsid w:val="00C11931"/>
    <w:rsid w:val="00C20F77"/>
    <w:rsid w:val="00C21115"/>
    <w:rsid w:val="00C41891"/>
    <w:rsid w:val="00C6636C"/>
    <w:rsid w:val="00C72BA1"/>
    <w:rsid w:val="00C80D7B"/>
    <w:rsid w:val="00C925B8"/>
    <w:rsid w:val="00CA0B1D"/>
    <w:rsid w:val="00CC29ED"/>
    <w:rsid w:val="00CE4AB6"/>
    <w:rsid w:val="00CE506A"/>
    <w:rsid w:val="00CF1DD3"/>
    <w:rsid w:val="00D05B24"/>
    <w:rsid w:val="00D30BC1"/>
    <w:rsid w:val="00D36AAB"/>
    <w:rsid w:val="00D6492C"/>
    <w:rsid w:val="00D9717F"/>
    <w:rsid w:val="00DB08DD"/>
    <w:rsid w:val="00DC3693"/>
    <w:rsid w:val="00DD76D8"/>
    <w:rsid w:val="00DF12D2"/>
    <w:rsid w:val="00DF17F3"/>
    <w:rsid w:val="00E343F4"/>
    <w:rsid w:val="00EF15C7"/>
    <w:rsid w:val="00F033DE"/>
    <w:rsid w:val="00F14C9A"/>
    <w:rsid w:val="00F24105"/>
    <w:rsid w:val="00F24F2E"/>
    <w:rsid w:val="00F46699"/>
    <w:rsid w:val="00F5665C"/>
    <w:rsid w:val="00FA3C63"/>
    <w:rsid w:val="00FB0B9E"/>
    <w:rsid w:val="00FC52A5"/>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C29ED"/>
    <w:pPr>
      <w:keepNext/>
      <w:ind w:left="2160" w:firstLine="720"/>
      <w:jc w:val="both"/>
      <w:outlineLvl w:val="0"/>
    </w:pPr>
    <w:rPr>
      <w:b/>
      <w:bCs/>
      <w:sz w:val="26"/>
      <w:lang w:val="x-none" w:eastAsia="x-none"/>
    </w:rPr>
  </w:style>
  <w:style w:type="paragraph" w:styleId="Heading2">
    <w:name w:val="heading 2"/>
    <w:basedOn w:val="Normal"/>
    <w:next w:val="Normal"/>
    <w:link w:val="Heading2Char"/>
    <w:qFormat/>
    <w:rsid w:val="00CC29ED"/>
    <w:pPr>
      <w:keepNext/>
      <w:ind w:left="1260" w:firstLine="900"/>
      <w:jc w:val="both"/>
      <w:outlineLvl w:val="1"/>
    </w:pPr>
    <w:rPr>
      <w:b/>
      <w:bCs/>
      <w:sz w:val="26"/>
      <w:lang w:val="x-none" w:eastAsia="x-none"/>
    </w:rPr>
  </w:style>
  <w:style w:type="paragraph" w:styleId="Heading3">
    <w:name w:val="heading 3"/>
    <w:basedOn w:val="Normal"/>
    <w:next w:val="Normal"/>
    <w:link w:val="Heading3Char"/>
    <w:qFormat/>
    <w:rsid w:val="00CC29ED"/>
    <w:pPr>
      <w:keepNext/>
      <w:jc w:val="both"/>
      <w:outlineLvl w:val="2"/>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ED"/>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CC29ED"/>
    <w:rPr>
      <w:rFonts w:eastAsia="Times New Roman" w:cs="Times New Roman"/>
      <w:b/>
      <w:bCs/>
      <w:sz w:val="26"/>
      <w:szCs w:val="24"/>
      <w:lang w:val="x-none" w:eastAsia="x-none"/>
    </w:rPr>
  </w:style>
  <w:style w:type="character" w:customStyle="1" w:styleId="Heading3Char">
    <w:name w:val="Heading 3 Char"/>
    <w:basedOn w:val="DefaultParagraphFont"/>
    <w:link w:val="Heading3"/>
    <w:rsid w:val="00CC29ED"/>
    <w:rPr>
      <w:rFonts w:eastAsia="Times New Roman" w:cs="Times New Roman"/>
      <w:b/>
      <w:bCs/>
      <w:sz w:val="26"/>
      <w:szCs w:val="24"/>
      <w:lang w:val="x-none" w:eastAsia="x-none"/>
    </w:rPr>
  </w:style>
  <w:style w:type="paragraph" w:styleId="Title">
    <w:name w:val="Title"/>
    <w:basedOn w:val="Normal"/>
    <w:link w:val="TitleChar"/>
    <w:qFormat/>
    <w:rsid w:val="00CC29ED"/>
    <w:pPr>
      <w:jc w:val="center"/>
    </w:pPr>
    <w:rPr>
      <w:b/>
      <w:bCs/>
      <w:sz w:val="26"/>
      <w:lang w:val="x-none" w:eastAsia="x-none"/>
    </w:rPr>
  </w:style>
  <w:style w:type="character" w:customStyle="1" w:styleId="TitleChar">
    <w:name w:val="Title Char"/>
    <w:basedOn w:val="DefaultParagraphFont"/>
    <w:link w:val="Title"/>
    <w:rsid w:val="00CC29ED"/>
    <w:rPr>
      <w:rFonts w:eastAsia="Times New Roman" w:cs="Times New Roman"/>
      <w:b/>
      <w:bCs/>
      <w:sz w:val="26"/>
      <w:szCs w:val="24"/>
      <w:lang w:val="x-none" w:eastAsia="x-none"/>
    </w:rPr>
  </w:style>
  <w:style w:type="paragraph" w:styleId="BodyTextIndent">
    <w:name w:val="Body Text Indent"/>
    <w:basedOn w:val="Normal"/>
    <w:link w:val="BodyTextIndentChar"/>
    <w:rsid w:val="00CC29ED"/>
    <w:pPr>
      <w:ind w:firstLine="720"/>
      <w:jc w:val="both"/>
    </w:pPr>
    <w:rPr>
      <w:sz w:val="26"/>
    </w:rPr>
  </w:style>
  <w:style w:type="character" w:customStyle="1" w:styleId="BodyTextIndentChar">
    <w:name w:val="Body Text Indent Char"/>
    <w:basedOn w:val="DefaultParagraphFont"/>
    <w:link w:val="BodyTextIndent"/>
    <w:rsid w:val="00CC29ED"/>
    <w:rPr>
      <w:rFonts w:eastAsia="Times New Roman" w:cs="Times New Roman"/>
      <w:sz w:val="26"/>
      <w:szCs w:val="24"/>
    </w:rPr>
  </w:style>
  <w:style w:type="paragraph" w:styleId="BodyText">
    <w:name w:val="Body Text"/>
    <w:basedOn w:val="Normal"/>
    <w:link w:val="BodyTextChar"/>
    <w:rsid w:val="00CC29ED"/>
    <w:pPr>
      <w:jc w:val="both"/>
    </w:pPr>
    <w:rPr>
      <w:b/>
      <w:bCs/>
      <w:sz w:val="26"/>
      <w:lang w:val="x-none" w:eastAsia="x-none"/>
    </w:rPr>
  </w:style>
  <w:style w:type="character" w:customStyle="1" w:styleId="BodyTextChar">
    <w:name w:val="Body Text Char"/>
    <w:basedOn w:val="DefaultParagraphFont"/>
    <w:link w:val="BodyText"/>
    <w:rsid w:val="00CC29ED"/>
    <w:rPr>
      <w:rFonts w:eastAsia="Times New Roman" w:cs="Times New Roman"/>
      <w:b/>
      <w:bCs/>
      <w:sz w:val="26"/>
      <w:szCs w:val="24"/>
      <w:lang w:val="x-none" w:eastAsia="x-none"/>
    </w:rPr>
  </w:style>
  <w:style w:type="paragraph" w:styleId="BodyTextIndent2">
    <w:name w:val="Body Text Indent 2"/>
    <w:basedOn w:val="Normal"/>
    <w:link w:val="BodyTextIndent2Char"/>
    <w:rsid w:val="00CC29ED"/>
    <w:pPr>
      <w:ind w:firstLine="720"/>
      <w:jc w:val="both"/>
    </w:pPr>
    <w:rPr>
      <w:sz w:val="22"/>
    </w:rPr>
  </w:style>
  <w:style w:type="character" w:customStyle="1" w:styleId="BodyTextIndent2Char">
    <w:name w:val="Body Text Indent 2 Char"/>
    <w:basedOn w:val="DefaultParagraphFont"/>
    <w:link w:val="BodyTextIndent2"/>
    <w:rsid w:val="00CC29ED"/>
    <w:rPr>
      <w:rFonts w:eastAsia="Times New Roman" w:cs="Times New Roman"/>
      <w:sz w:val="22"/>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CC29ED"/>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CC29ED"/>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uiPriority w:val="99"/>
    <w:qFormat/>
    <w:rsid w:val="00CC29ED"/>
    <w:rPr>
      <w:vertAlign w:val="superscript"/>
    </w:rPr>
  </w:style>
  <w:style w:type="paragraph" w:styleId="Header">
    <w:name w:val="header"/>
    <w:basedOn w:val="Normal"/>
    <w:link w:val="HeaderChar"/>
    <w:uiPriority w:val="99"/>
    <w:unhideWhenUsed/>
    <w:rsid w:val="00261705"/>
    <w:pPr>
      <w:tabs>
        <w:tab w:val="center" w:pos="4680"/>
        <w:tab w:val="right" w:pos="9360"/>
      </w:tabs>
    </w:pPr>
  </w:style>
  <w:style w:type="character" w:customStyle="1" w:styleId="HeaderChar">
    <w:name w:val="Header Char"/>
    <w:basedOn w:val="DefaultParagraphFont"/>
    <w:link w:val="Header"/>
    <w:uiPriority w:val="99"/>
    <w:rsid w:val="00261705"/>
    <w:rPr>
      <w:rFonts w:eastAsia="Times New Roman" w:cs="Times New Roman"/>
      <w:sz w:val="24"/>
      <w:szCs w:val="24"/>
    </w:rPr>
  </w:style>
  <w:style w:type="paragraph" w:styleId="Footer">
    <w:name w:val="footer"/>
    <w:basedOn w:val="Normal"/>
    <w:link w:val="FooterChar"/>
    <w:uiPriority w:val="99"/>
    <w:unhideWhenUsed/>
    <w:rsid w:val="00261705"/>
    <w:pPr>
      <w:tabs>
        <w:tab w:val="center" w:pos="4680"/>
        <w:tab w:val="right" w:pos="9360"/>
      </w:tabs>
    </w:pPr>
  </w:style>
  <w:style w:type="character" w:customStyle="1" w:styleId="FooterChar">
    <w:name w:val="Footer Char"/>
    <w:basedOn w:val="DefaultParagraphFont"/>
    <w:link w:val="Footer"/>
    <w:uiPriority w:val="99"/>
    <w:rsid w:val="0026170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C29ED"/>
    <w:pPr>
      <w:keepNext/>
      <w:ind w:left="2160" w:firstLine="720"/>
      <w:jc w:val="both"/>
      <w:outlineLvl w:val="0"/>
    </w:pPr>
    <w:rPr>
      <w:b/>
      <w:bCs/>
      <w:sz w:val="26"/>
      <w:lang w:val="x-none" w:eastAsia="x-none"/>
    </w:rPr>
  </w:style>
  <w:style w:type="paragraph" w:styleId="Heading2">
    <w:name w:val="heading 2"/>
    <w:basedOn w:val="Normal"/>
    <w:next w:val="Normal"/>
    <w:link w:val="Heading2Char"/>
    <w:qFormat/>
    <w:rsid w:val="00CC29ED"/>
    <w:pPr>
      <w:keepNext/>
      <w:ind w:left="1260" w:firstLine="900"/>
      <w:jc w:val="both"/>
      <w:outlineLvl w:val="1"/>
    </w:pPr>
    <w:rPr>
      <w:b/>
      <w:bCs/>
      <w:sz w:val="26"/>
      <w:lang w:val="x-none" w:eastAsia="x-none"/>
    </w:rPr>
  </w:style>
  <w:style w:type="paragraph" w:styleId="Heading3">
    <w:name w:val="heading 3"/>
    <w:basedOn w:val="Normal"/>
    <w:next w:val="Normal"/>
    <w:link w:val="Heading3Char"/>
    <w:qFormat/>
    <w:rsid w:val="00CC29ED"/>
    <w:pPr>
      <w:keepNext/>
      <w:jc w:val="both"/>
      <w:outlineLvl w:val="2"/>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ED"/>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CC29ED"/>
    <w:rPr>
      <w:rFonts w:eastAsia="Times New Roman" w:cs="Times New Roman"/>
      <w:b/>
      <w:bCs/>
      <w:sz w:val="26"/>
      <w:szCs w:val="24"/>
      <w:lang w:val="x-none" w:eastAsia="x-none"/>
    </w:rPr>
  </w:style>
  <w:style w:type="character" w:customStyle="1" w:styleId="Heading3Char">
    <w:name w:val="Heading 3 Char"/>
    <w:basedOn w:val="DefaultParagraphFont"/>
    <w:link w:val="Heading3"/>
    <w:rsid w:val="00CC29ED"/>
    <w:rPr>
      <w:rFonts w:eastAsia="Times New Roman" w:cs="Times New Roman"/>
      <w:b/>
      <w:bCs/>
      <w:sz w:val="26"/>
      <w:szCs w:val="24"/>
      <w:lang w:val="x-none" w:eastAsia="x-none"/>
    </w:rPr>
  </w:style>
  <w:style w:type="paragraph" w:styleId="Title">
    <w:name w:val="Title"/>
    <w:basedOn w:val="Normal"/>
    <w:link w:val="TitleChar"/>
    <w:qFormat/>
    <w:rsid w:val="00CC29ED"/>
    <w:pPr>
      <w:jc w:val="center"/>
    </w:pPr>
    <w:rPr>
      <w:b/>
      <w:bCs/>
      <w:sz w:val="26"/>
      <w:lang w:val="x-none" w:eastAsia="x-none"/>
    </w:rPr>
  </w:style>
  <w:style w:type="character" w:customStyle="1" w:styleId="TitleChar">
    <w:name w:val="Title Char"/>
    <w:basedOn w:val="DefaultParagraphFont"/>
    <w:link w:val="Title"/>
    <w:rsid w:val="00CC29ED"/>
    <w:rPr>
      <w:rFonts w:eastAsia="Times New Roman" w:cs="Times New Roman"/>
      <w:b/>
      <w:bCs/>
      <w:sz w:val="26"/>
      <w:szCs w:val="24"/>
      <w:lang w:val="x-none" w:eastAsia="x-none"/>
    </w:rPr>
  </w:style>
  <w:style w:type="paragraph" w:styleId="BodyTextIndent">
    <w:name w:val="Body Text Indent"/>
    <w:basedOn w:val="Normal"/>
    <w:link w:val="BodyTextIndentChar"/>
    <w:rsid w:val="00CC29ED"/>
    <w:pPr>
      <w:ind w:firstLine="720"/>
      <w:jc w:val="both"/>
    </w:pPr>
    <w:rPr>
      <w:sz w:val="26"/>
    </w:rPr>
  </w:style>
  <w:style w:type="character" w:customStyle="1" w:styleId="BodyTextIndentChar">
    <w:name w:val="Body Text Indent Char"/>
    <w:basedOn w:val="DefaultParagraphFont"/>
    <w:link w:val="BodyTextIndent"/>
    <w:rsid w:val="00CC29ED"/>
    <w:rPr>
      <w:rFonts w:eastAsia="Times New Roman" w:cs="Times New Roman"/>
      <w:sz w:val="26"/>
      <w:szCs w:val="24"/>
    </w:rPr>
  </w:style>
  <w:style w:type="paragraph" w:styleId="BodyText">
    <w:name w:val="Body Text"/>
    <w:basedOn w:val="Normal"/>
    <w:link w:val="BodyTextChar"/>
    <w:rsid w:val="00CC29ED"/>
    <w:pPr>
      <w:jc w:val="both"/>
    </w:pPr>
    <w:rPr>
      <w:b/>
      <w:bCs/>
      <w:sz w:val="26"/>
      <w:lang w:val="x-none" w:eastAsia="x-none"/>
    </w:rPr>
  </w:style>
  <w:style w:type="character" w:customStyle="1" w:styleId="BodyTextChar">
    <w:name w:val="Body Text Char"/>
    <w:basedOn w:val="DefaultParagraphFont"/>
    <w:link w:val="BodyText"/>
    <w:rsid w:val="00CC29ED"/>
    <w:rPr>
      <w:rFonts w:eastAsia="Times New Roman" w:cs="Times New Roman"/>
      <w:b/>
      <w:bCs/>
      <w:sz w:val="26"/>
      <w:szCs w:val="24"/>
      <w:lang w:val="x-none" w:eastAsia="x-none"/>
    </w:rPr>
  </w:style>
  <w:style w:type="paragraph" w:styleId="BodyTextIndent2">
    <w:name w:val="Body Text Indent 2"/>
    <w:basedOn w:val="Normal"/>
    <w:link w:val="BodyTextIndent2Char"/>
    <w:rsid w:val="00CC29ED"/>
    <w:pPr>
      <w:ind w:firstLine="720"/>
      <w:jc w:val="both"/>
    </w:pPr>
    <w:rPr>
      <w:sz w:val="22"/>
    </w:rPr>
  </w:style>
  <w:style w:type="character" w:customStyle="1" w:styleId="BodyTextIndent2Char">
    <w:name w:val="Body Text Indent 2 Char"/>
    <w:basedOn w:val="DefaultParagraphFont"/>
    <w:link w:val="BodyTextIndent2"/>
    <w:rsid w:val="00CC29ED"/>
    <w:rPr>
      <w:rFonts w:eastAsia="Times New Roman" w:cs="Times New Roman"/>
      <w:sz w:val="22"/>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CC29ED"/>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CC29ED"/>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uiPriority w:val="99"/>
    <w:qFormat/>
    <w:rsid w:val="00CC29ED"/>
    <w:rPr>
      <w:vertAlign w:val="superscript"/>
    </w:rPr>
  </w:style>
  <w:style w:type="paragraph" w:styleId="Header">
    <w:name w:val="header"/>
    <w:basedOn w:val="Normal"/>
    <w:link w:val="HeaderChar"/>
    <w:uiPriority w:val="99"/>
    <w:unhideWhenUsed/>
    <w:rsid w:val="00261705"/>
    <w:pPr>
      <w:tabs>
        <w:tab w:val="center" w:pos="4680"/>
        <w:tab w:val="right" w:pos="9360"/>
      </w:tabs>
    </w:pPr>
  </w:style>
  <w:style w:type="character" w:customStyle="1" w:styleId="HeaderChar">
    <w:name w:val="Header Char"/>
    <w:basedOn w:val="DefaultParagraphFont"/>
    <w:link w:val="Header"/>
    <w:uiPriority w:val="99"/>
    <w:rsid w:val="00261705"/>
    <w:rPr>
      <w:rFonts w:eastAsia="Times New Roman" w:cs="Times New Roman"/>
      <w:sz w:val="24"/>
      <w:szCs w:val="24"/>
    </w:rPr>
  </w:style>
  <w:style w:type="paragraph" w:styleId="Footer">
    <w:name w:val="footer"/>
    <w:basedOn w:val="Normal"/>
    <w:link w:val="FooterChar"/>
    <w:uiPriority w:val="99"/>
    <w:unhideWhenUsed/>
    <w:rsid w:val="00261705"/>
    <w:pPr>
      <w:tabs>
        <w:tab w:val="center" w:pos="4680"/>
        <w:tab w:val="right" w:pos="9360"/>
      </w:tabs>
    </w:pPr>
  </w:style>
  <w:style w:type="character" w:customStyle="1" w:styleId="FooterChar">
    <w:name w:val="Footer Char"/>
    <w:basedOn w:val="DefaultParagraphFont"/>
    <w:link w:val="Footer"/>
    <w:uiPriority w:val="99"/>
    <w:rsid w:val="0026170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519D-1567-49E6-B36C-F093BF96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2285</Words>
  <Characters>13026</Characters>
  <Application>Microsoft Office Word</Application>
  <DocSecurity>0</DocSecurity>
  <Lines>108</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Hai Duc</dc:creator>
  <cp:keywords/>
  <dc:description/>
  <cp:lastModifiedBy>Admin</cp:lastModifiedBy>
  <cp:revision>100</cp:revision>
  <dcterms:created xsi:type="dcterms:W3CDTF">2020-10-12T09:06:00Z</dcterms:created>
  <dcterms:modified xsi:type="dcterms:W3CDTF">2021-11-16T06:32:00Z</dcterms:modified>
</cp:coreProperties>
</file>