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4D3" w:rsidRPr="00A05777" w:rsidRDefault="009B34D3" w:rsidP="003F790F">
      <w:pPr>
        <w:widowControl w:val="0"/>
        <w:jc w:val="center"/>
        <w:rPr>
          <w:b/>
          <w:sz w:val="28"/>
          <w:szCs w:val="28"/>
        </w:rPr>
      </w:pPr>
      <w:r w:rsidRPr="00A05777">
        <w:rPr>
          <w:b/>
          <w:sz w:val="28"/>
          <w:szCs w:val="28"/>
        </w:rPr>
        <w:t>PHỤ LỤC</w:t>
      </w:r>
      <w:r>
        <w:rPr>
          <w:b/>
          <w:sz w:val="28"/>
          <w:szCs w:val="28"/>
        </w:rPr>
        <w:t xml:space="preserve"> </w:t>
      </w:r>
      <w:r w:rsidR="001F0614">
        <w:rPr>
          <w:b/>
          <w:sz w:val="28"/>
          <w:szCs w:val="28"/>
        </w:rPr>
        <w:t>01</w:t>
      </w:r>
    </w:p>
    <w:p w:rsidR="009B34D3" w:rsidRDefault="009B34D3" w:rsidP="003F790F">
      <w:pPr>
        <w:widowControl w:val="0"/>
        <w:jc w:val="center"/>
        <w:rPr>
          <w:b/>
          <w:sz w:val="28"/>
          <w:szCs w:val="28"/>
        </w:rPr>
      </w:pPr>
      <w:r w:rsidRPr="00A05777">
        <w:rPr>
          <w:b/>
          <w:sz w:val="28"/>
          <w:szCs w:val="28"/>
        </w:rPr>
        <w:t>Thông tin về điều chỉnh chủ trương đầu tư Dự án</w:t>
      </w:r>
    </w:p>
    <w:p w:rsidR="009B34D3" w:rsidRPr="00A05777" w:rsidRDefault="009B34D3" w:rsidP="003F790F">
      <w:pPr>
        <w:widowControl w:val="0"/>
        <w:jc w:val="center"/>
        <w:rPr>
          <w:b/>
          <w:sz w:val="28"/>
          <w:szCs w:val="28"/>
        </w:rPr>
      </w:pPr>
      <w:r w:rsidRPr="00A05777">
        <w:rPr>
          <w:b/>
          <w:sz w:val="28"/>
          <w:szCs w:val="28"/>
        </w:rPr>
        <w:t>Trung tâm Văn hóa nghệ thuật tỉnh Kon Tum</w:t>
      </w:r>
    </w:p>
    <w:p w:rsidR="009B34D3" w:rsidRPr="00A05777" w:rsidRDefault="009B34D3" w:rsidP="003F790F">
      <w:pPr>
        <w:widowControl w:val="0"/>
        <w:jc w:val="center"/>
        <w:rPr>
          <w:i/>
          <w:sz w:val="28"/>
          <w:szCs w:val="28"/>
          <w:lang w:val="nl-NL"/>
        </w:rPr>
      </w:pPr>
      <w:r w:rsidRPr="00A05777">
        <w:rPr>
          <w:i/>
          <w:sz w:val="28"/>
          <w:szCs w:val="28"/>
          <w:lang w:val="nl-NL"/>
        </w:rPr>
        <w:t xml:space="preserve">((Kèm theo </w:t>
      </w:r>
      <w:r w:rsidRPr="00A05777">
        <w:rPr>
          <w:i/>
          <w:sz w:val="28"/>
          <w:szCs w:val="28"/>
          <w:lang w:val="vi-VN"/>
        </w:rPr>
        <w:t>Tờ trình</w:t>
      </w:r>
      <w:r w:rsidRPr="00A05777">
        <w:rPr>
          <w:i/>
          <w:sz w:val="28"/>
          <w:szCs w:val="28"/>
          <w:lang w:val="nl-NL"/>
        </w:rPr>
        <w:t xml:space="preserve"> số</w:t>
      </w:r>
      <w:r w:rsidR="00D02E79">
        <w:rPr>
          <w:i/>
          <w:sz w:val="28"/>
          <w:szCs w:val="28"/>
          <w:lang w:val="nl-NL"/>
        </w:rPr>
        <w:t>:</w:t>
      </w:r>
      <w:r w:rsidRPr="00A05777">
        <w:rPr>
          <w:i/>
          <w:sz w:val="28"/>
          <w:szCs w:val="28"/>
          <w:lang w:val="nl-NL"/>
        </w:rPr>
        <w:t xml:space="preserve">  </w:t>
      </w:r>
      <w:r w:rsidR="00AD7AE4">
        <w:rPr>
          <w:i/>
          <w:sz w:val="28"/>
          <w:szCs w:val="28"/>
          <w:lang w:val="nl-NL"/>
        </w:rPr>
        <w:t>164</w:t>
      </w:r>
      <w:r w:rsidR="00D02E79">
        <w:rPr>
          <w:i/>
          <w:sz w:val="28"/>
          <w:szCs w:val="28"/>
          <w:lang w:val="nl-NL"/>
        </w:rPr>
        <w:t xml:space="preserve">    </w:t>
      </w:r>
      <w:r w:rsidRPr="00A05777">
        <w:rPr>
          <w:i/>
          <w:sz w:val="28"/>
          <w:szCs w:val="28"/>
          <w:lang w:val="nl-NL"/>
        </w:rPr>
        <w:t>/</w:t>
      </w:r>
      <w:r w:rsidRPr="00A05777">
        <w:rPr>
          <w:i/>
          <w:sz w:val="28"/>
          <w:szCs w:val="28"/>
          <w:lang w:val="vi-VN"/>
        </w:rPr>
        <w:t>TTr-UBND</w:t>
      </w:r>
      <w:r w:rsidRPr="00A05777">
        <w:rPr>
          <w:i/>
          <w:sz w:val="28"/>
          <w:szCs w:val="28"/>
          <w:lang w:val="nl-NL"/>
        </w:rPr>
        <w:t xml:space="preserve"> ngày  </w:t>
      </w:r>
      <w:r w:rsidR="00AD7AE4">
        <w:rPr>
          <w:i/>
          <w:sz w:val="28"/>
          <w:szCs w:val="28"/>
          <w:lang w:val="nl-NL"/>
        </w:rPr>
        <w:t>28</w:t>
      </w:r>
      <w:bookmarkStart w:id="0" w:name="_GoBack"/>
      <w:bookmarkEnd w:id="0"/>
      <w:r w:rsidRPr="00A05777">
        <w:rPr>
          <w:i/>
          <w:sz w:val="28"/>
          <w:szCs w:val="28"/>
          <w:lang w:val="nl-NL"/>
        </w:rPr>
        <w:t xml:space="preserve">  tháng</w:t>
      </w:r>
      <w:r w:rsidR="00D02E79">
        <w:rPr>
          <w:i/>
          <w:sz w:val="28"/>
          <w:szCs w:val="28"/>
          <w:lang w:val="nl-NL"/>
        </w:rPr>
        <w:t xml:space="preserve"> </w:t>
      </w:r>
      <w:r w:rsidR="00805B5E">
        <w:rPr>
          <w:i/>
          <w:sz w:val="28"/>
          <w:szCs w:val="28"/>
          <w:lang w:val="nl-NL"/>
        </w:rPr>
        <w:t>11</w:t>
      </w:r>
      <w:r w:rsidRPr="00A05777">
        <w:rPr>
          <w:i/>
          <w:sz w:val="28"/>
          <w:szCs w:val="28"/>
          <w:lang w:val="nl-NL"/>
        </w:rPr>
        <w:t xml:space="preserve"> năm</w:t>
      </w:r>
      <w:r w:rsidR="00EB5299">
        <w:rPr>
          <w:i/>
          <w:sz w:val="28"/>
          <w:szCs w:val="28"/>
          <w:lang w:val="nl-NL"/>
        </w:rPr>
        <w:t xml:space="preserve"> 2019</w:t>
      </w:r>
    </w:p>
    <w:p w:rsidR="009B34D3" w:rsidRPr="00A05777" w:rsidRDefault="009B34D3" w:rsidP="003F790F">
      <w:pPr>
        <w:widowControl w:val="0"/>
        <w:ind w:firstLine="567"/>
        <w:jc w:val="center"/>
        <w:rPr>
          <w:i/>
          <w:sz w:val="28"/>
          <w:szCs w:val="28"/>
          <w:lang w:val="vi-VN"/>
        </w:rPr>
      </w:pPr>
      <w:r w:rsidRPr="00A05777">
        <w:rPr>
          <w:i/>
          <w:sz w:val="28"/>
          <w:szCs w:val="28"/>
          <w:lang w:val="nl-NL"/>
        </w:rPr>
        <w:t xml:space="preserve">của </w:t>
      </w:r>
      <w:r w:rsidRPr="00A05777">
        <w:rPr>
          <w:rStyle w:val="fontstyle01"/>
          <w:i/>
          <w:color w:val="auto"/>
          <w:lang w:val="vi-VN"/>
        </w:rPr>
        <w:t>Ủy ban</w:t>
      </w:r>
      <w:r w:rsidRPr="00AD7AE4">
        <w:rPr>
          <w:rStyle w:val="fontstyle01"/>
          <w:i/>
          <w:color w:val="auto"/>
          <w:lang w:val="nl-NL"/>
        </w:rPr>
        <w:t xml:space="preserve"> nhân dân tỉnh</w:t>
      </w:r>
      <w:r w:rsidRPr="00A05777">
        <w:rPr>
          <w:i/>
          <w:sz w:val="28"/>
          <w:szCs w:val="28"/>
          <w:lang w:val="nl-NL"/>
        </w:rPr>
        <w:t>)</w:t>
      </w:r>
    </w:p>
    <w:p w:rsidR="009B34D3" w:rsidRPr="00A05777" w:rsidRDefault="009B34D3" w:rsidP="003F790F">
      <w:pPr>
        <w:widowControl w:val="0"/>
        <w:ind w:firstLine="720"/>
        <w:rPr>
          <w:sz w:val="28"/>
          <w:szCs w:val="28"/>
          <w:lang w:val="vi-VN"/>
        </w:rPr>
      </w:pPr>
      <w:r w:rsidRPr="00A05777">
        <w:rPr>
          <w:b/>
          <w:noProof/>
          <w:sz w:val="28"/>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2578735</wp:posOffset>
                </wp:positionH>
                <wp:positionV relativeFrom="paragraph">
                  <wp:posOffset>10160</wp:posOffset>
                </wp:positionV>
                <wp:extent cx="767715" cy="0"/>
                <wp:effectExtent l="10795" t="6350" r="12065" b="1270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7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1C98FD0" id="_x0000_t32" coordsize="21600,21600" o:spt="32" o:oned="t" path="m,l21600,21600e" filled="f">
                <v:path arrowok="t" fillok="f" o:connecttype="none"/>
                <o:lock v:ext="edit" shapetype="t"/>
              </v:shapetype>
              <v:shape id="Straight Arrow Connector 1" o:spid="_x0000_s1026" type="#_x0000_t32" style="position:absolute;margin-left:203.05pt;margin-top:.8pt;width:60.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"/>
            </w:pict>
          </mc:Fallback>
        </mc:AlternateContent>
      </w:r>
    </w:p>
    <w:p w:rsidR="00171F8B" w:rsidRPr="00171F8B" w:rsidRDefault="00171F8B" w:rsidP="008D27EA">
      <w:pPr>
        <w:widowControl w:val="0"/>
        <w:spacing w:after="120"/>
        <w:ind w:firstLine="680"/>
        <w:jc w:val="both"/>
        <w:rPr>
          <w:b/>
          <w:sz w:val="6"/>
          <w:szCs w:val="28"/>
          <w:lang w:val="vi-VN"/>
        </w:rPr>
      </w:pPr>
    </w:p>
    <w:p w:rsidR="00DE2F73" w:rsidRDefault="00DE2F73" w:rsidP="006B1F5F">
      <w:pPr>
        <w:widowControl w:val="0"/>
        <w:spacing w:after="100"/>
        <w:ind w:firstLine="680"/>
        <w:jc w:val="both"/>
        <w:rPr>
          <w:b/>
          <w:sz w:val="28"/>
          <w:szCs w:val="28"/>
          <w:lang w:val="vi-VN"/>
        </w:rPr>
      </w:pPr>
      <w:r>
        <w:rPr>
          <w:b/>
          <w:sz w:val="28"/>
          <w:szCs w:val="28"/>
          <w:lang w:val="vi-VN"/>
        </w:rPr>
        <w:t>I. THÔNG TIN CHUNG DỰ ÁN</w:t>
      </w:r>
    </w:p>
    <w:p w:rsidR="000745F7" w:rsidRPr="00AD7AE4" w:rsidRDefault="000745F7" w:rsidP="006B1F5F">
      <w:pPr>
        <w:widowControl w:val="0"/>
        <w:spacing w:after="100"/>
        <w:ind w:firstLine="680"/>
        <w:jc w:val="both"/>
        <w:rPr>
          <w:color w:val="000000"/>
          <w:sz w:val="28"/>
          <w:szCs w:val="28"/>
          <w:lang w:val="vi-VN"/>
        </w:rPr>
      </w:pPr>
      <w:r w:rsidRPr="00AD7AE4">
        <w:rPr>
          <w:color w:val="000000"/>
          <w:sz w:val="28"/>
          <w:szCs w:val="28"/>
          <w:lang w:val="vi-VN"/>
        </w:rPr>
        <w:t>Dự án Trung tâm Văn hóa nghệ thuật tỉnh Kon Tum được Thường trực Hội đồng nhân dân tỉnh quyết định chủ trương đầu tư tại Thông báo số 69/TB-HĐND ngày 3 tháng 11 năm 2018 và được Ủy ban nhân dân tỉnh giao triển khai thực hiện chủ trương đầu tư dự án tại Quyết định số 1388</w:t>
      </w:r>
      <w:r w:rsidR="002F6323" w:rsidRPr="00AD7AE4">
        <w:rPr>
          <w:color w:val="000000"/>
          <w:sz w:val="28"/>
          <w:szCs w:val="28"/>
          <w:lang w:val="vi-VN"/>
        </w:rPr>
        <w:t>/QĐ-UBND</w:t>
      </w:r>
      <w:r w:rsidRPr="00AD7AE4">
        <w:rPr>
          <w:color w:val="000000"/>
          <w:sz w:val="28"/>
          <w:szCs w:val="28"/>
          <w:lang w:val="vi-VN"/>
        </w:rPr>
        <w:t xml:space="preserve"> ngày 12</w:t>
      </w:r>
      <w:r w:rsidR="002F6323" w:rsidRPr="00AD7AE4">
        <w:rPr>
          <w:color w:val="000000"/>
          <w:sz w:val="28"/>
          <w:szCs w:val="28"/>
          <w:lang w:val="vi-VN"/>
        </w:rPr>
        <w:t xml:space="preserve"> tháng </w:t>
      </w:r>
      <w:r w:rsidRPr="00AD7AE4">
        <w:rPr>
          <w:color w:val="000000"/>
          <w:sz w:val="28"/>
          <w:szCs w:val="28"/>
          <w:lang w:val="vi-VN"/>
        </w:rPr>
        <w:t>12</w:t>
      </w:r>
      <w:r w:rsidR="002F6323" w:rsidRPr="00AD7AE4">
        <w:rPr>
          <w:color w:val="000000"/>
          <w:sz w:val="28"/>
          <w:szCs w:val="28"/>
          <w:lang w:val="vi-VN"/>
        </w:rPr>
        <w:t xml:space="preserve"> năm </w:t>
      </w:r>
      <w:r w:rsidRPr="00AD7AE4">
        <w:rPr>
          <w:color w:val="000000"/>
          <w:sz w:val="28"/>
          <w:szCs w:val="28"/>
          <w:lang w:val="vi-VN"/>
        </w:rPr>
        <w:t>2018 với tổng mức đầu tư khoảng 39.000 triệu đồng (</w:t>
      </w:r>
      <w:r w:rsidRPr="00AD7AE4">
        <w:rPr>
          <w:i/>
          <w:color w:val="000000"/>
          <w:sz w:val="28"/>
          <w:szCs w:val="28"/>
          <w:lang w:val="vi-VN"/>
        </w:rPr>
        <w:t>dự án nhóm C trọng điểm</w:t>
      </w:r>
      <w:r w:rsidRPr="00AD7AE4">
        <w:rPr>
          <w:color w:val="000000"/>
          <w:sz w:val="28"/>
          <w:szCs w:val="28"/>
          <w:lang w:val="vi-VN"/>
        </w:rPr>
        <w:t>); nguồn vốn đầu tư từ nguồn cân đối ngân sách địa phương và các nguồn vốn hợp pháp khác; Chủ đầu tư dự án: Sở Văn hóa, Thể thao và Du lịch. Trong Kế hoạch đầu tư công trung hạn giai đoạn 2016-2020 của tỉnh, dự án được bố trí 10.000 triệu đồng để thực hiện dự án.</w:t>
      </w:r>
    </w:p>
    <w:p w:rsidR="009B34D3" w:rsidRDefault="00332AA5" w:rsidP="006B1F5F">
      <w:pPr>
        <w:widowControl w:val="0"/>
        <w:spacing w:after="100"/>
        <w:ind w:firstLine="680"/>
        <w:jc w:val="both"/>
        <w:rPr>
          <w:b/>
          <w:sz w:val="28"/>
          <w:szCs w:val="28"/>
          <w:lang w:val="vi-VN"/>
        </w:rPr>
      </w:pPr>
      <w:r w:rsidRPr="00AD7AE4">
        <w:rPr>
          <w:b/>
          <w:sz w:val="28"/>
          <w:szCs w:val="28"/>
          <w:lang w:val="vi-VN"/>
        </w:rPr>
        <w:t>II</w:t>
      </w:r>
      <w:r w:rsidR="0024223C">
        <w:rPr>
          <w:b/>
          <w:sz w:val="28"/>
          <w:szCs w:val="28"/>
          <w:lang w:val="vi-VN"/>
        </w:rPr>
        <w:t xml:space="preserve">. </w:t>
      </w:r>
      <w:r w:rsidR="00896253" w:rsidRPr="00AD7AE4">
        <w:rPr>
          <w:b/>
          <w:sz w:val="28"/>
          <w:szCs w:val="28"/>
          <w:lang w:val="vi-VN"/>
        </w:rPr>
        <w:t xml:space="preserve">VỀ </w:t>
      </w:r>
      <w:r w:rsidR="00F87859" w:rsidRPr="00AD7AE4">
        <w:rPr>
          <w:b/>
          <w:sz w:val="28"/>
          <w:szCs w:val="28"/>
          <w:lang w:val="vi-VN"/>
        </w:rPr>
        <w:t xml:space="preserve">VIỆC </w:t>
      </w:r>
      <w:r w:rsidR="00896253" w:rsidRPr="00AD7AE4">
        <w:rPr>
          <w:b/>
          <w:sz w:val="28"/>
          <w:szCs w:val="28"/>
          <w:lang w:val="vi-VN"/>
        </w:rPr>
        <w:t>ĐIỀU CHỈNH CHỦ TRƯƠNG ĐẦU TƯ DỰ ÁN</w:t>
      </w:r>
    </w:p>
    <w:p w:rsidR="00B11805" w:rsidRPr="00AD7AE4" w:rsidRDefault="00810579" w:rsidP="006B1F5F">
      <w:pPr>
        <w:widowControl w:val="0"/>
        <w:spacing w:after="100"/>
        <w:ind w:firstLine="680"/>
        <w:jc w:val="both"/>
        <w:rPr>
          <w:b/>
          <w:sz w:val="28"/>
          <w:szCs w:val="28"/>
          <w:lang w:val="vi-VN"/>
        </w:rPr>
      </w:pPr>
      <w:r w:rsidRPr="00AD7AE4">
        <w:rPr>
          <w:b/>
          <w:sz w:val="28"/>
          <w:szCs w:val="28"/>
          <w:lang w:val="vi-VN"/>
        </w:rPr>
        <w:t>1. Nội dung</w:t>
      </w:r>
      <w:r w:rsidR="00D76A90" w:rsidRPr="00AD7AE4">
        <w:rPr>
          <w:b/>
          <w:sz w:val="28"/>
          <w:szCs w:val="28"/>
          <w:lang w:val="vi-VN"/>
        </w:rPr>
        <w:t xml:space="preserve"> </w:t>
      </w:r>
      <w:r w:rsidR="00814BA1" w:rsidRPr="00AD7AE4">
        <w:rPr>
          <w:b/>
          <w:sz w:val="28"/>
          <w:szCs w:val="28"/>
          <w:lang w:val="vi-VN"/>
        </w:rPr>
        <w:t xml:space="preserve">và lý do </w:t>
      </w:r>
      <w:r w:rsidRPr="00AD7AE4">
        <w:rPr>
          <w:b/>
          <w:sz w:val="28"/>
          <w:szCs w:val="28"/>
          <w:lang w:val="vi-VN"/>
        </w:rPr>
        <w:t>điều chỉnh</w:t>
      </w:r>
    </w:p>
    <w:p w:rsidR="00814BA1" w:rsidRPr="000413EB" w:rsidRDefault="00814BA1" w:rsidP="00814BA1">
      <w:pPr>
        <w:spacing w:after="80"/>
        <w:ind w:firstLine="680"/>
        <w:jc w:val="both"/>
        <w:rPr>
          <w:color w:val="000000"/>
          <w:sz w:val="28"/>
          <w:szCs w:val="28"/>
          <w:lang w:val="nl-NL"/>
        </w:rPr>
      </w:pPr>
      <w:r>
        <w:rPr>
          <w:color w:val="000000"/>
          <w:sz w:val="28"/>
          <w:szCs w:val="28"/>
          <w:lang w:val="nl-NL"/>
        </w:rPr>
        <w:t xml:space="preserve">Sau khi rà soát và tham khảo một số Công trình </w:t>
      </w:r>
      <w:r w:rsidRPr="00307CE6">
        <w:rPr>
          <w:color w:val="000000"/>
          <w:sz w:val="28"/>
          <w:szCs w:val="28"/>
          <w:lang w:val="nl-NL"/>
        </w:rPr>
        <w:t>Trung tâm Văn hóa nghệ thuật</w:t>
      </w:r>
      <w:r>
        <w:rPr>
          <w:color w:val="000000"/>
          <w:sz w:val="28"/>
          <w:szCs w:val="28"/>
          <w:lang w:val="nl-NL"/>
        </w:rPr>
        <w:t xml:space="preserve"> của tỉnh, thành trong khu vực, Chủ đầu tư và Cơ quan chủ trì thẩm định có </w:t>
      </w:r>
      <w:r w:rsidRPr="0011114F">
        <w:rPr>
          <w:color w:val="000000"/>
          <w:sz w:val="28"/>
          <w:szCs w:val="28"/>
          <w:lang w:val="nl-NL"/>
        </w:rPr>
        <w:t>đề nghị điều chỉnh chủ trương đầu tư dự án theo hướng hợp nhất hai hạng mục Nhà làm vi</w:t>
      </w:r>
      <w:r>
        <w:rPr>
          <w:color w:val="000000"/>
          <w:sz w:val="28"/>
          <w:szCs w:val="28"/>
          <w:lang w:val="nl-NL"/>
        </w:rPr>
        <w:t>ệc và Hội trường đa năng 800 chỗ</w:t>
      </w:r>
      <w:r w:rsidRPr="0011114F">
        <w:rPr>
          <w:color w:val="000000"/>
          <w:sz w:val="28"/>
          <w:szCs w:val="28"/>
          <w:lang w:val="nl-NL"/>
        </w:rPr>
        <w:t xml:space="preserve"> ngồi thành một khối là Nhà làm việc kết hợp Hội trường đa năng (</w:t>
      </w:r>
      <w:r w:rsidRPr="00A67906">
        <w:rPr>
          <w:i/>
          <w:color w:val="000000"/>
          <w:sz w:val="28"/>
          <w:szCs w:val="28"/>
          <w:lang w:val="nl-NL"/>
        </w:rPr>
        <w:t>phòng biễu diễn nghệ thuật…</w:t>
      </w:r>
      <w:r>
        <w:rPr>
          <w:color w:val="000000"/>
          <w:sz w:val="28"/>
          <w:szCs w:val="28"/>
          <w:lang w:val="nl-NL"/>
        </w:rPr>
        <w:t xml:space="preserve">) với quy mô 1000 chỗ ngồi; </w:t>
      </w:r>
      <w:r w:rsidRPr="0011114F">
        <w:rPr>
          <w:color w:val="000000"/>
          <w:sz w:val="28"/>
          <w:szCs w:val="28"/>
          <w:lang w:val="nl-NL"/>
        </w:rPr>
        <w:t>nâng cấp các trang thiết bị đồng bộ để phục vụ nhu cầu biểu diễn, thưởng thức nghệ thuật của Nhân dân trong tỉnh cũng như giao lưu văn hóa nghệ thuật với các tỉnh bạn.</w:t>
      </w:r>
      <w:r>
        <w:rPr>
          <w:color w:val="000000"/>
          <w:sz w:val="28"/>
          <w:szCs w:val="28"/>
          <w:lang w:val="nl-NL"/>
        </w:rPr>
        <w:t xml:space="preserve"> Đồng thời, rà soát, tính toán lại chi phí bồi thường, giải phóng mặt bằng cho phù hợp với tình hình thực tế. Cụ thể nội dung điều chỉnh như sau:</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559"/>
        <w:gridCol w:w="3261"/>
        <w:gridCol w:w="3538"/>
      </w:tblGrid>
      <w:tr w:rsidR="009B34D3" w:rsidRPr="00312E20" w:rsidTr="00E8460B">
        <w:tc>
          <w:tcPr>
            <w:tcW w:w="709" w:type="dxa"/>
            <w:shd w:val="clear" w:color="auto" w:fill="auto"/>
            <w:vAlign w:val="center"/>
          </w:tcPr>
          <w:p w:rsidR="009B34D3" w:rsidRPr="00312E20" w:rsidRDefault="009B34D3" w:rsidP="007C09CB">
            <w:pPr>
              <w:widowControl w:val="0"/>
              <w:spacing w:before="60" w:after="60"/>
              <w:jc w:val="center"/>
              <w:rPr>
                <w:rFonts w:eastAsia="Calibri"/>
                <w:b/>
                <w:sz w:val="28"/>
                <w:szCs w:val="28"/>
                <w:lang w:val="nl-NL"/>
              </w:rPr>
            </w:pPr>
            <w:r w:rsidRPr="00312E20">
              <w:rPr>
                <w:rFonts w:eastAsia="Calibri"/>
                <w:b/>
                <w:sz w:val="28"/>
                <w:szCs w:val="28"/>
                <w:lang w:val="nl-NL"/>
              </w:rPr>
              <w:t>TT</w:t>
            </w:r>
          </w:p>
        </w:tc>
        <w:tc>
          <w:tcPr>
            <w:tcW w:w="1559" w:type="dxa"/>
            <w:shd w:val="clear" w:color="auto" w:fill="auto"/>
            <w:vAlign w:val="center"/>
          </w:tcPr>
          <w:p w:rsidR="009B34D3" w:rsidRPr="00312E20" w:rsidRDefault="009B34D3" w:rsidP="007C09CB">
            <w:pPr>
              <w:widowControl w:val="0"/>
              <w:spacing w:before="60" w:after="60"/>
              <w:jc w:val="center"/>
              <w:rPr>
                <w:rFonts w:eastAsia="Calibri"/>
                <w:b/>
                <w:sz w:val="28"/>
                <w:szCs w:val="28"/>
                <w:lang w:val="nl-NL"/>
              </w:rPr>
            </w:pPr>
            <w:r w:rsidRPr="00312E20">
              <w:rPr>
                <w:rFonts w:eastAsia="Calibri"/>
                <w:b/>
                <w:sz w:val="28"/>
                <w:szCs w:val="28"/>
                <w:lang w:val="nl-NL"/>
              </w:rPr>
              <w:t>Nội dung</w:t>
            </w:r>
          </w:p>
        </w:tc>
        <w:tc>
          <w:tcPr>
            <w:tcW w:w="3261" w:type="dxa"/>
            <w:shd w:val="clear" w:color="auto" w:fill="auto"/>
            <w:vAlign w:val="center"/>
          </w:tcPr>
          <w:p w:rsidR="009B34D3" w:rsidRPr="00AD7AE4" w:rsidRDefault="009B34D3" w:rsidP="007C09CB">
            <w:pPr>
              <w:widowControl w:val="0"/>
              <w:jc w:val="center"/>
              <w:rPr>
                <w:rFonts w:eastAsia="Calibri"/>
                <w:b/>
                <w:sz w:val="28"/>
                <w:szCs w:val="28"/>
                <w:lang w:val="nl-NL"/>
              </w:rPr>
            </w:pPr>
            <w:r w:rsidRPr="00AD7AE4">
              <w:rPr>
                <w:rFonts w:eastAsia="Calibri"/>
                <w:b/>
                <w:sz w:val="28"/>
                <w:szCs w:val="28"/>
                <w:lang w:val="nl-NL"/>
              </w:rPr>
              <w:t>Theo chủ trương đã được phê duyệt</w:t>
            </w:r>
            <w:r w:rsidRPr="00AD7AE4">
              <w:rPr>
                <w:rFonts w:eastAsia="Calibri"/>
                <w:b/>
                <w:sz w:val="28"/>
                <w:szCs w:val="28"/>
                <w:vertAlign w:val="superscript"/>
                <w:lang w:val="nl-NL"/>
              </w:rPr>
              <w:t>(</w:t>
            </w:r>
            <w:r w:rsidRPr="00312E20">
              <w:rPr>
                <w:rStyle w:val="FootnoteReference"/>
                <w:rFonts w:eastAsia="Calibri"/>
                <w:b/>
                <w:sz w:val="28"/>
                <w:szCs w:val="28"/>
              </w:rPr>
              <w:footnoteReference w:id="1"/>
            </w:r>
            <w:r w:rsidRPr="00AD7AE4">
              <w:rPr>
                <w:rFonts w:eastAsia="Calibri"/>
                <w:b/>
                <w:sz w:val="28"/>
                <w:szCs w:val="28"/>
                <w:vertAlign w:val="superscript"/>
                <w:lang w:val="nl-NL"/>
              </w:rPr>
              <w:t>)</w:t>
            </w:r>
          </w:p>
        </w:tc>
        <w:tc>
          <w:tcPr>
            <w:tcW w:w="3538" w:type="dxa"/>
            <w:shd w:val="clear" w:color="auto" w:fill="auto"/>
            <w:vAlign w:val="center"/>
          </w:tcPr>
          <w:p w:rsidR="009B34D3" w:rsidRPr="00312E20" w:rsidRDefault="009B34D3" w:rsidP="007C09CB">
            <w:pPr>
              <w:widowControl w:val="0"/>
              <w:spacing w:before="60" w:after="60"/>
              <w:jc w:val="center"/>
              <w:rPr>
                <w:rFonts w:eastAsia="Calibri"/>
                <w:b/>
                <w:sz w:val="28"/>
                <w:szCs w:val="28"/>
                <w:lang w:val="nl-NL"/>
              </w:rPr>
            </w:pPr>
            <w:r w:rsidRPr="00312E20">
              <w:rPr>
                <w:rFonts w:eastAsia="Calibri"/>
                <w:b/>
                <w:sz w:val="28"/>
                <w:szCs w:val="28"/>
                <w:lang w:val="nl-NL"/>
              </w:rPr>
              <w:t>Điều chỉnh, bổ sung</w:t>
            </w:r>
          </w:p>
        </w:tc>
      </w:tr>
      <w:tr w:rsidR="009B34D3" w:rsidRPr="00312E20" w:rsidTr="00E8460B">
        <w:tc>
          <w:tcPr>
            <w:tcW w:w="709" w:type="dxa"/>
            <w:shd w:val="clear" w:color="auto" w:fill="auto"/>
            <w:vAlign w:val="center"/>
          </w:tcPr>
          <w:p w:rsidR="009B34D3" w:rsidRPr="00312E20" w:rsidRDefault="009B34D3" w:rsidP="007C09CB">
            <w:pPr>
              <w:widowControl w:val="0"/>
              <w:spacing w:before="60" w:after="60"/>
              <w:jc w:val="center"/>
              <w:rPr>
                <w:rFonts w:eastAsia="Calibri"/>
                <w:sz w:val="28"/>
                <w:szCs w:val="28"/>
                <w:lang w:val="nl-NL"/>
              </w:rPr>
            </w:pPr>
            <w:r w:rsidRPr="00312E20">
              <w:rPr>
                <w:rFonts w:eastAsia="Calibri"/>
                <w:sz w:val="28"/>
                <w:szCs w:val="28"/>
                <w:lang w:val="nl-NL"/>
              </w:rPr>
              <w:t>1</w:t>
            </w:r>
          </w:p>
        </w:tc>
        <w:tc>
          <w:tcPr>
            <w:tcW w:w="1559" w:type="dxa"/>
            <w:shd w:val="clear" w:color="auto" w:fill="auto"/>
            <w:vAlign w:val="center"/>
          </w:tcPr>
          <w:p w:rsidR="009B34D3" w:rsidRPr="00312E20" w:rsidRDefault="009B34D3" w:rsidP="007C09CB">
            <w:pPr>
              <w:widowControl w:val="0"/>
              <w:spacing w:before="60" w:after="60"/>
              <w:jc w:val="center"/>
              <w:rPr>
                <w:rFonts w:eastAsia="Calibri"/>
                <w:sz w:val="28"/>
                <w:szCs w:val="28"/>
                <w:lang w:val="nl-NL"/>
              </w:rPr>
            </w:pPr>
            <w:r w:rsidRPr="00312E20">
              <w:rPr>
                <w:rFonts w:eastAsia="Calibri"/>
                <w:sz w:val="28"/>
                <w:szCs w:val="28"/>
                <w:lang w:val="nl-NL"/>
              </w:rPr>
              <w:t>Quy mô đầu tư</w:t>
            </w:r>
          </w:p>
        </w:tc>
        <w:tc>
          <w:tcPr>
            <w:tcW w:w="3261" w:type="dxa"/>
            <w:shd w:val="clear" w:color="auto" w:fill="auto"/>
            <w:vAlign w:val="center"/>
          </w:tcPr>
          <w:p w:rsidR="009B34D3" w:rsidRPr="00AD7AE4" w:rsidRDefault="009B34D3" w:rsidP="007C09CB">
            <w:pPr>
              <w:spacing w:before="80" w:after="80"/>
              <w:jc w:val="both"/>
              <w:rPr>
                <w:sz w:val="28"/>
                <w:szCs w:val="28"/>
                <w:lang w:val="nl-NL"/>
              </w:rPr>
            </w:pPr>
            <w:r w:rsidRPr="00AD7AE4">
              <w:rPr>
                <w:sz w:val="28"/>
                <w:szCs w:val="28"/>
                <w:lang w:val="nl-NL"/>
              </w:rPr>
              <w:t>- Nhà làm việc nhà 03 tầng: 3*500m</w:t>
            </w:r>
            <w:r w:rsidRPr="00AD7AE4">
              <w:rPr>
                <w:sz w:val="28"/>
                <w:szCs w:val="28"/>
                <w:vertAlign w:val="superscript"/>
                <w:lang w:val="nl-NL"/>
              </w:rPr>
              <w:t>2</w:t>
            </w:r>
            <w:r w:rsidRPr="00AD7AE4">
              <w:rPr>
                <w:sz w:val="28"/>
                <w:szCs w:val="28"/>
                <w:lang w:val="nl-NL"/>
              </w:rPr>
              <w:t>=1500m</w:t>
            </w:r>
            <w:r w:rsidRPr="00AD7AE4">
              <w:rPr>
                <w:sz w:val="28"/>
                <w:szCs w:val="28"/>
                <w:vertAlign w:val="superscript"/>
                <w:lang w:val="nl-NL"/>
              </w:rPr>
              <w:t>2</w:t>
            </w:r>
            <w:r w:rsidRPr="00AD7AE4">
              <w:rPr>
                <w:sz w:val="28"/>
                <w:szCs w:val="28"/>
                <w:lang w:val="nl-NL"/>
              </w:rPr>
              <w:t>.</w:t>
            </w:r>
          </w:p>
          <w:p w:rsidR="009B34D3" w:rsidRPr="00AD7AE4" w:rsidRDefault="009B34D3" w:rsidP="007C09CB">
            <w:pPr>
              <w:spacing w:before="80" w:after="80"/>
              <w:jc w:val="both"/>
              <w:rPr>
                <w:sz w:val="28"/>
                <w:szCs w:val="28"/>
                <w:lang w:val="nl-NL"/>
              </w:rPr>
            </w:pPr>
            <w:r w:rsidRPr="00AD7AE4">
              <w:rPr>
                <w:sz w:val="28"/>
                <w:szCs w:val="28"/>
                <w:lang w:val="nl-NL"/>
              </w:rPr>
              <w:t>- Hội trường đa năng 800 chổ ngồi, nhà 01 tầng: 1500m</w:t>
            </w:r>
            <w:r w:rsidRPr="00AD7AE4">
              <w:rPr>
                <w:sz w:val="28"/>
                <w:szCs w:val="28"/>
                <w:vertAlign w:val="superscript"/>
                <w:lang w:val="nl-NL"/>
              </w:rPr>
              <w:t>2</w:t>
            </w:r>
            <w:r w:rsidRPr="00AD7AE4">
              <w:rPr>
                <w:sz w:val="28"/>
                <w:szCs w:val="28"/>
                <w:lang w:val="nl-NL"/>
              </w:rPr>
              <w:t>.</w:t>
            </w:r>
          </w:p>
          <w:p w:rsidR="009B34D3" w:rsidRPr="00AD7AE4" w:rsidRDefault="009B34D3" w:rsidP="007C09CB">
            <w:pPr>
              <w:spacing w:before="80" w:after="80"/>
              <w:jc w:val="both"/>
              <w:rPr>
                <w:sz w:val="28"/>
                <w:szCs w:val="28"/>
                <w:lang w:val="nl-NL"/>
              </w:rPr>
            </w:pPr>
            <w:r w:rsidRPr="00AD7AE4">
              <w:rPr>
                <w:sz w:val="28"/>
                <w:szCs w:val="28"/>
                <w:lang w:val="nl-NL"/>
              </w:rPr>
              <w:t>- Khu dịch vụ, vui chơi giải trí, rèn luyện thể chất ngoài trời: 2000m</w:t>
            </w:r>
            <w:r w:rsidRPr="00AD7AE4">
              <w:rPr>
                <w:sz w:val="28"/>
                <w:szCs w:val="28"/>
                <w:vertAlign w:val="superscript"/>
                <w:lang w:val="nl-NL"/>
              </w:rPr>
              <w:t>2</w:t>
            </w:r>
            <w:r w:rsidRPr="00AD7AE4">
              <w:rPr>
                <w:sz w:val="28"/>
                <w:szCs w:val="28"/>
                <w:lang w:val="nl-NL"/>
              </w:rPr>
              <w:t>.</w:t>
            </w:r>
          </w:p>
          <w:p w:rsidR="009B34D3" w:rsidRPr="00312E20" w:rsidRDefault="009B34D3" w:rsidP="007C09CB">
            <w:pPr>
              <w:spacing w:before="80" w:after="80"/>
              <w:jc w:val="both"/>
              <w:rPr>
                <w:rFonts w:eastAsia="Calibri"/>
                <w:sz w:val="28"/>
                <w:szCs w:val="28"/>
                <w:lang w:val="nl-NL"/>
              </w:rPr>
            </w:pPr>
            <w:r w:rsidRPr="00AD7AE4">
              <w:rPr>
                <w:sz w:val="28"/>
                <w:szCs w:val="28"/>
                <w:lang w:val="nl-NL"/>
              </w:rPr>
              <w:t xml:space="preserve">- Khu cây xanh, vườn hoa, cây cảnh và phụ trợ khác: </w:t>
            </w:r>
            <w:r w:rsidRPr="00AD7AE4">
              <w:rPr>
                <w:sz w:val="28"/>
                <w:szCs w:val="28"/>
                <w:lang w:val="nl-NL"/>
              </w:rPr>
              <w:lastRenderedPageBreak/>
              <w:t>2934m</w:t>
            </w:r>
            <w:r w:rsidRPr="00AD7AE4">
              <w:rPr>
                <w:sz w:val="28"/>
                <w:szCs w:val="28"/>
                <w:vertAlign w:val="superscript"/>
                <w:lang w:val="nl-NL"/>
              </w:rPr>
              <w:t>2</w:t>
            </w:r>
            <w:r w:rsidRPr="00AD7AE4">
              <w:rPr>
                <w:sz w:val="28"/>
                <w:szCs w:val="28"/>
                <w:lang w:val="nl-NL"/>
              </w:rPr>
              <w:t>.</w:t>
            </w:r>
          </w:p>
        </w:tc>
        <w:tc>
          <w:tcPr>
            <w:tcW w:w="3538" w:type="dxa"/>
            <w:shd w:val="clear" w:color="auto" w:fill="auto"/>
            <w:vAlign w:val="center"/>
          </w:tcPr>
          <w:p w:rsidR="009B34D3" w:rsidRPr="00312E20" w:rsidRDefault="009B34D3" w:rsidP="007C09CB">
            <w:pPr>
              <w:spacing w:before="80" w:after="80"/>
              <w:jc w:val="both"/>
              <w:rPr>
                <w:sz w:val="28"/>
                <w:szCs w:val="28"/>
              </w:rPr>
            </w:pPr>
            <w:r w:rsidRPr="00AD7AE4">
              <w:rPr>
                <w:sz w:val="28"/>
                <w:szCs w:val="28"/>
                <w:lang w:val="nl-NL"/>
              </w:rPr>
              <w:lastRenderedPageBreak/>
              <w:t xml:space="preserve">- Nhà làm việc kết hợp Hội trường đa năng (phòng biểu diễn nghệ thuật…) </w:t>
            </w:r>
            <w:r w:rsidRPr="00312E20">
              <w:rPr>
                <w:sz w:val="28"/>
                <w:szCs w:val="28"/>
              </w:rPr>
              <w:t>1000 chỗ ngồi, nhà 03 tầng: 7.086m</w:t>
            </w:r>
            <w:r w:rsidRPr="00312E20">
              <w:rPr>
                <w:sz w:val="28"/>
                <w:szCs w:val="28"/>
                <w:vertAlign w:val="superscript"/>
              </w:rPr>
              <w:t>2</w:t>
            </w:r>
            <w:r w:rsidRPr="00312E20">
              <w:rPr>
                <w:sz w:val="28"/>
                <w:szCs w:val="28"/>
              </w:rPr>
              <w:t>.</w:t>
            </w:r>
          </w:p>
          <w:p w:rsidR="009B34D3" w:rsidRPr="00312E20" w:rsidRDefault="009B34D3" w:rsidP="007C09CB">
            <w:pPr>
              <w:spacing w:before="80" w:after="80"/>
              <w:jc w:val="both"/>
              <w:rPr>
                <w:sz w:val="28"/>
                <w:szCs w:val="28"/>
              </w:rPr>
            </w:pPr>
            <w:r w:rsidRPr="00312E20">
              <w:rPr>
                <w:sz w:val="28"/>
                <w:szCs w:val="28"/>
              </w:rPr>
              <w:t>- Các hạng mục phụ trợ: san nền; cổng tường rào; sân đường nội bộ; nhà để xe; nhà bảo vệ; hệ thống cấp điện; hệ thống cấp, thoát nước; cây xanh thảm cỏ</w:t>
            </w:r>
            <w:proofErr w:type="gramStart"/>
            <w:r w:rsidRPr="00312E20">
              <w:rPr>
                <w:sz w:val="28"/>
                <w:szCs w:val="28"/>
              </w:rPr>
              <w:t>,…</w:t>
            </w:r>
            <w:proofErr w:type="gramEnd"/>
          </w:p>
          <w:p w:rsidR="009B34D3" w:rsidRPr="00312E20" w:rsidRDefault="009B34D3" w:rsidP="007C09CB">
            <w:pPr>
              <w:spacing w:before="80" w:after="80"/>
              <w:jc w:val="both"/>
              <w:rPr>
                <w:sz w:val="28"/>
                <w:szCs w:val="28"/>
              </w:rPr>
            </w:pPr>
            <w:r w:rsidRPr="00312E20">
              <w:rPr>
                <w:sz w:val="28"/>
                <w:szCs w:val="28"/>
              </w:rPr>
              <w:lastRenderedPageBreak/>
              <w:t>- Thiết bị hoàn chỉnh cho công trình văn hóa.</w:t>
            </w:r>
          </w:p>
        </w:tc>
      </w:tr>
      <w:tr w:rsidR="009B34D3" w:rsidRPr="00312E20" w:rsidTr="00E8460B">
        <w:tc>
          <w:tcPr>
            <w:tcW w:w="709" w:type="dxa"/>
            <w:shd w:val="clear" w:color="auto" w:fill="auto"/>
            <w:vAlign w:val="center"/>
          </w:tcPr>
          <w:p w:rsidR="009B34D3" w:rsidRPr="00312E20" w:rsidRDefault="009B34D3" w:rsidP="007C09CB">
            <w:pPr>
              <w:widowControl w:val="0"/>
              <w:spacing w:before="60" w:after="60"/>
              <w:jc w:val="center"/>
              <w:rPr>
                <w:rFonts w:eastAsia="Calibri"/>
                <w:sz w:val="28"/>
                <w:szCs w:val="28"/>
                <w:lang w:val="nl-NL"/>
              </w:rPr>
            </w:pPr>
            <w:r w:rsidRPr="00312E20">
              <w:rPr>
                <w:rFonts w:eastAsia="Calibri"/>
                <w:sz w:val="28"/>
                <w:szCs w:val="28"/>
                <w:lang w:val="nl-NL"/>
              </w:rPr>
              <w:lastRenderedPageBreak/>
              <w:t>2</w:t>
            </w:r>
          </w:p>
        </w:tc>
        <w:tc>
          <w:tcPr>
            <w:tcW w:w="1559" w:type="dxa"/>
            <w:shd w:val="clear" w:color="auto" w:fill="auto"/>
            <w:vAlign w:val="center"/>
          </w:tcPr>
          <w:p w:rsidR="009B34D3" w:rsidRPr="00312E20" w:rsidRDefault="009B34D3" w:rsidP="007C09CB">
            <w:pPr>
              <w:widowControl w:val="0"/>
              <w:spacing w:before="60" w:after="60"/>
              <w:jc w:val="center"/>
              <w:rPr>
                <w:rFonts w:eastAsia="Calibri"/>
                <w:sz w:val="28"/>
                <w:szCs w:val="28"/>
                <w:lang w:val="nl-NL"/>
              </w:rPr>
            </w:pPr>
            <w:r w:rsidRPr="00312E20">
              <w:rPr>
                <w:rFonts w:eastAsia="Calibri"/>
                <w:sz w:val="28"/>
                <w:szCs w:val="28"/>
                <w:lang w:val="nl-NL"/>
              </w:rPr>
              <w:t>Tổng mức đầu tư</w:t>
            </w:r>
          </w:p>
        </w:tc>
        <w:tc>
          <w:tcPr>
            <w:tcW w:w="3261" w:type="dxa"/>
            <w:shd w:val="clear" w:color="auto" w:fill="auto"/>
            <w:vAlign w:val="center"/>
          </w:tcPr>
          <w:p w:rsidR="009B34D3" w:rsidRPr="00312E20" w:rsidRDefault="009B34D3" w:rsidP="007C09CB">
            <w:pPr>
              <w:widowControl w:val="0"/>
              <w:spacing w:before="60" w:after="60"/>
              <w:rPr>
                <w:rFonts w:eastAsia="Calibri"/>
                <w:sz w:val="28"/>
                <w:szCs w:val="28"/>
                <w:lang w:val="nl-NL"/>
              </w:rPr>
            </w:pPr>
            <w:r w:rsidRPr="00312E20">
              <w:rPr>
                <w:rFonts w:eastAsia="Calibri"/>
                <w:sz w:val="28"/>
                <w:szCs w:val="28"/>
                <w:lang w:val="nl-NL"/>
              </w:rPr>
              <w:t>Khoảng 39.000 triệu đồng</w:t>
            </w:r>
          </w:p>
        </w:tc>
        <w:tc>
          <w:tcPr>
            <w:tcW w:w="3538" w:type="dxa"/>
            <w:shd w:val="clear" w:color="auto" w:fill="auto"/>
            <w:vAlign w:val="center"/>
          </w:tcPr>
          <w:p w:rsidR="009B34D3" w:rsidRPr="00312E20" w:rsidRDefault="009B34D3" w:rsidP="007C09CB">
            <w:pPr>
              <w:widowControl w:val="0"/>
              <w:spacing w:before="60" w:after="60"/>
              <w:rPr>
                <w:rFonts w:eastAsia="Calibri"/>
                <w:sz w:val="28"/>
                <w:szCs w:val="28"/>
                <w:lang w:val="nl-NL"/>
              </w:rPr>
            </w:pPr>
            <w:r w:rsidRPr="00312E20">
              <w:rPr>
                <w:rFonts w:eastAsia="Calibri"/>
                <w:sz w:val="28"/>
                <w:szCs w:val="28"/>
                <w:lang w:val="nl-NL"/>
              </w:rPr>
              <w:t>Khoảng 90.000 triệu đồng</w:t>
            </w:r>
          </w:p>
        </w:tc>
      </w:tr>
      <w:tr w:rsidR="009B34D3" w:rsidRPr="00312E20" w:rsidTr="00E8460B">
        <w:tc>
          <w:tcPr>
            <w:tcW w:w="709" w:type="dxa"/>
            <w:shd w:val="clear" w:color="auto" w:fill="auto"/>
            <w:vAlign w:val="center"/>
          </w:tcPr>
          <w:p w:rsidR="009B34D3" w:rsidRPr="00312E20" w:rsidRDefault="009B34D3" w:rsidP="007C09CB">
            <w:pPr>
              <w:pStyle w:val="BodyTextIndent2"/>
              <w:widowControl w:val="0"/>
              <w:spacing w:before="60"/>
              <w:ind w:firstLine="0"/>
              <w:jc w:val="center"/>
              <w:rPr>
                <w:color w:val="000000"/>
                <w:szCs w:val="28"/>
                <w:lang w:val="nl-NL" w:eastAsia="en-US"/>
              </w:rPr>
            </w:pPr>
            <w:r w:rsidRPr="00312E20">
              <w:rPr>
                <w:color w:val="000000"/>
                <w:szCs w:val="28"/>
                <w:lang w:val="nl-NL" w:eastAsia="en-US"/>
              </w:rPr>
              <w:t>3</w:t>
            </w:r>
          </w:p>
        </w:tc>
        <w:tc>
          <w:tcPr>
            <w:tcW w:w="1559" w:type="dxa"/>
            <w:shd w:val="clear" w:color="auto" w:fill="auto"/>
            <w:vAlign w:val="center"/>
          </w:tcPr>
          <w:p w:rsidR="009B34D3" w:rsidRPr="00312E20" w:rsidRDefault="009B34D3" w:rsidP="007C09CB">
            <w:pPr>
              <w:pStyle w:val="BodyTextIndent2"/>
              <w:widowControl w:val="0"/>
              <w:spacing w:before="60"/>
              <w:ind w:firstLine="0"/>
              <w:jc w:val="center"/>
              <w:rPr>
                <w:color w:val="000000"/>
                <w:szCs w:val="28"/>
                <w:lang w:val="nl-NL" w:eastAsia="en-US"/>
              </w:rPr>
            </w:pPr>
            <w:r w:rsidRPr="00312E20">
              <w:rPr>
                <w:color w:val="000000"/>
                <w:szCs w:val="28"/>
                <w:lang w:val="nl-NL" w:eastAsia="en-US"/>
              </w:rPr>
              <w:t>Dự án nhóm</w:t>
            </w:r>
          </w:p>
        </w:tc>
        <w:tc>
          <w:tcPr>
            <w:tcW w:w="3261" w:type="dxa"/>
            <w:shd w:val="clear" w:color="auto" w:fill="auto"/>
            <w:vAlign w:val="center"/>
          </w:tcPr>
          <w:p w:rsidR="009B34D3" w:rsidRPr="00312E20" w:rsidRDefault="009B34D3" w:rsidP="007C09CB">
            <w:pPr>
              <w:pStyle w:val="BodyTextIndent2"/>
              <w:widowControl w:val="0"/>
              <w:spacing w:before="60"/>
              <w:ind w:firstLine="34"/>
              <w:jc w:val="center"/>
              <w:rPr>
                <w:color w:val="000000"/>
                <w:spacing w:val="-2"/>
                <w:szCs w:val="28"/>
                <w:lang w:val="nl-NL" w:eastAsia="en-US"/>
              </w:rPr>
            </w:pPr>
            <w:r w:rsidRPr="00312E20">
              <w:rPr>
                <w:color w:val="000000"/>
                <w:spacing w:val="-2"/>
                <w:szCs w:val="28"/>
                <w:lang w:val="nl-NL" w:eastAsia="en-US"/>
              </w:rPr>
              <w:t>C (trọng điểm)</w:t>
            </w:r>
          </w:p>
        </w:tc>
        <w:tc>
          <w:tcPr>
            <w:tcW w:w="3538" w:type="dxa"/>
            <w:shd w:val="clear" w:color="auto" w:fill="auto"/>
            <w:vAlign w:val="center"/>
          </w:tcPr>
          <w:p w:rsidR="009B34D3" w:rsidRPr="00312E20" w:rsidRDefault="009B34D3" w:rsidP="007C09CB">
            <w:pPr>
              <w:pStyle w:val="BodyTextIndent2"/>
              <w:widowControl w:val="0"/>
              <w:spacing w:before="60"/>
              <w:ind w:firstLine="34"/>
              <w:jc w:val="center"/>
              <w:rPr>
                <w:color w:val="000000"/>
                <w:spacing w:val="-2"/>
                <w:szCs w:val="28"/>
                <w:lang w:val="nl-NL" w:eastAsia="en-US"/>
              </w:rPr>
            </w:pPr>
            <w:r w:rsidRPr="00312E20">
              <w:rPr>
                <w:color w:val="000000"/>
                <w:spacing w:val="-2"/>
                <w:szCs w:val="28"/>
                <w:lang w:val="nl-NL" w:eastAsia="en-US"/>
              </w:rPr>
              <w:t>B</w:t>
            </w:r>
          </w:p>
        </w:tc>
      </w:tr>
    </w:tbl>
    <w:p w:rsidR="009737EC" w:rsidRPr="009737EC" w:rsidRDefault="009737EC" w:rsidP="002F6BD3">
      <w:pPr>
        <w:spacing w:after="120"/>
        <w:ind w:firstLine="680"/>
        <w:jc w:val="both"/>
        <w:rPr>
          <w:sz w:val="10"/>
        </w:rPr>
      </w:pPr>
    </w:p>
    <w:p w:rsidR="009B34D3" w:rsidRPr="00A858AC" w:rsidRDefault="009B34D3" w:rsidP="000974E5">
      <w:pPr>
        <w:spacing w:after="100"/>
        <w:ind w:firstLine="680"/>
        <w:jc w:val="both"/>
        <w:rPr>
          <w:sz w:val="28"/>
        </w:rPr>
      </w:pPr>
      <w:r w:rsidRPr="00A858AC">
        <w:rPr>
          <w:sz w:val="28"/>
        </w:rPr>
        <w:t xml:space="preserve">Các nội dung khác giữ nguyên theo Thông báo số </w:t>
      </w:r>
      <w:r w:rsidRPr="00A858AC">
        <w:rPr>
          <w:sz w:val="28"/>
          <w:szCs w:val="28"/>
        </w:rPr>
        <w:t>69/TB-HĐND ngày 3</w:t>
      </w:r>
      <w:r w:rsidRPr="00A858AC">
        <w:rPr>
          <w:sz w:val="28"/>
          <w:szCs w:val="28"/>
          <w:lang w:val="vi-VN"/>
        </w:rPr>
        <w:t xml:space="preserve">0 tháng </w:t>
      </w:r>
      <w:r w:rsidRPr="00A858AC">
        <w:rPr>
          <w:sz w:val="28"/>
          <w:szCs w:val="28"/>
        </w:rPr>
        <w:t>11</w:t>
      </w:r>
      <w:r w:rsidRPr="00A858AC">
        <w:rPr>
          <w:sz w:val="28"/>
          <w:szCs w:val="28"/>
          <w:lang w:val="vi-VN"/>
        </w:rPr>
        <w:t xml:space="preserve"> năm </w:t>
      </w:r>
      <w:r w:rsidRPr="00A858AC">
        <w:rPr>
          <w:sz w:val="28"/>
          <w:szCs w:val="28"/>
        </w:rPr>
        <w:t xml:space="preserve">2018 </w:t>
      </w:r>
      <w:r w:rsidRPr="00A858AC">
        <w:rPr>
          <w:sz w:val="28"/>
        </w:rPr>
        <w:t>của Thường trực Hội đồng nhân dân tỉnh.</w:t>
      </w:r>
      <w:r w:rsidRPr="00A858AC">
        <w:rPr>
          <w:sz w:val="28"/>
        </w:rPr>
        <w:tab/>
      </w:r>
      <w:r w:rsidRPr="00A858AC">
        <w:rPr>
          <w:sz w:val="28"/>
        </w:rPr>
        <w:tab/>
      </w:r>
    </w:p>
    <w:p w:rsidR="009B34D3" w:rsidRPr="00A858AC" w:rsidRDefault="004A07ED" w:rsidP="000974E5">
      <w:pPr>
        <w:widowControl w:val="0"/>
        <w:spacing w:after="100"/>
        <w:ind w:firstLine="680"/>
        <w:jc w:val="both"/>
        <w:rPr>
          <w:sz w:val="28"/>
          <w:szCs w:val="28"/>
          <w:lang w:val="nl-NL"/>
        </w:rPr>
      </w:pPr>
      <w:r>
        <w:rPr>
          <w:b/>
          <w:sz w:val="28"/>
          <w:szCs w:val="28"/>
          <w:lang w:val="nl-NL"/>
        </w:rPr>
        <w:t>2</w:t>
      </w:r>
      <w:r w:rsidR="004E4C98" w:rsidRPr="00A858AC">
        <w:rPr>
          <w:b/>
          <w:sz w:val="28"/>
          <w:szCs w:val="28"/>
          <w:lang w:val="nl-NL"/>
        </w:rPr>
        <w:t xml:space="preserve">. </w:t>
      </w:r>
      <w:r w:rsidR="009253C2">
        <w:rPr>
          <w:b/>
          <w:sz w:val="28"/>
          <w:szCs w:val="28"/>
          <w:lang w:val="nl-NL"/>
        </w:rPr>
        <w:t xml:space="preserve">Ý kiến </w:t>
      </w:r>
      <w:r w:rsidR="00B11E3F">
        <w:rPr>
          <w:b/>
          <w:sz w:val="28"/>
          <w:szCs w:val="28"/>
          <w:lang w:val="nl-NL"/>
        </w:rPr>
        <w:t xml:space="preserve">đề nghị </w:t>
      </w:r>
      <w:r w:rsidR="009253C2">
        <w:rPr>
          <w:b/>
          <w:sz w:val="28"/>
          <w:szCs w:val="28"/>
          <w:lang w:val="nl-NL"/>
        </w:rPr>
        <w:t>của Ủy ban nhân dân tỉnh</w:t>
      </w:r>
    </w:p>
    <w:p w:rsidR="00D76A90" w:rsidRPr="00AD7AE4" w:rsidRDefault="00DC1997" w:rsidP="000974E5">
      <w:pPr>
        <w:spacing w:after="100"/>
        <w:ind w:firstLine="680"/>
        <w:jc w:val="both"/>
        <w:rPr>
          <w:color w:val="000000"/>
          <w:sz w:val="28"/>
          <w:szCs w:val="28"/>
          <w:lang w:val="nl-NL"/>
        </w:rPr>
      </w:pPr>
      <w:r w:rsidRPr="00AD7AE4">
        <w:rPr>
          <w:color w:val="000000"/>
          <w:sz w:val="28"/>
          <w:szCs w:val="28"/>
          <w:lang w:val="nl-NL"/>
        </w:rPr>
        <w:t xml:space="preserve">Để </w:t>
      </w:r>
      <w:r w:rsidRPr="00A858AC">
        <w:rPr>
          <w:color w:val="000000"/>
          <w:sz w:val="28"/>
          <w:szCs w:val="28"/>
          <w:lang w:val="nl-NL"/>
        </w:rPr>
        <w:t>tạo mỹ quan công trình, đáp ứng nhu cầu sử dụng lâu dài, xứng tầm công trình văn hóa nghệ thuật cấp tỉnh</w:t>
      </w:r>
      <w:r w:rsidRPr="00AD7AE4">
        <w:rPr>
          <w:color w:val="000000"/>
          <w:sz w:val="28"/>
          <w:szCs w:val="28"/>
          <w:lang w:val="nl-NL"/>
        </w:rPr>
        <w:t xml:space="preserve">, đồng thời đáp ứng nhu cầu hưởng thụ văn hóa của người dân, </w:t>
      </w:r>
      <w:r w:rsidR="00CB5A06" w:rsidRPr="00AD7AE4">
        <w:rPr>
          <w:color w:val="000000"/>
          <w:sz w:val="28"/>
          <w:szCs w:val="28"/>
          <w:lang w:val="nl-NL"/>
        </w:rPr>
        <w:t xml:space="preserve">Ủy ban nhân dân tỉnh </w:t>
      </w:r>
      <w:r w:rsidR="00D0254A" w:rsidRPr="00AD7AE4">
        <w:rPr>
          <w:color w:val="000000"/>
          <w:sz w:val="28"/>
          <w:szCs w:val="28"/>
          <w:lang w:val="nl-NL"/>
        </w:rPr>
        <w:t xml:space="preserve">kính trình Hội đồng nhân dân tỉnh xem xét, </w:t>
      </w:r>
      <w:r w:rsidR="00CB5A06" w:rsidRPr="00AD7AE4">
        <w:rPr>
          <w:color w:val="000000"/>
          <w:sz w:val="28"/>
          <w:szCs w:val="28"/>
          <w:lang w:val="nl-NL"/>
        </w:rPr>
        <w:t>điều chỉnh chủ trương đầu tư dự án</w:t>
      </w:r>
      <w:r w:rsidR="0033227F" w:rsidRPr="00AD7AE4">
        <w:rPr>
          <w:color w:val="000000"/>
          <w:sz w:val="28"/>
          <w:szCs w:val="28"/>
          <w:lang w:val="nl-NL"/>
        </w:rPr>
        <w:t xml:space="preserve"> như đề nghị của các ngành</w:t>
      </w:r>
      <w:r w:rsidR="00CB5A06" w:rsidRPr="00AD7AE4">
        <w:rPr>
          <w:color w:val="000000"/>
          <w:sz w:val="28"/>
          <w:szCs w:val="28"/>
          <w:lang w:val="nl-NL"/>
        </w:rPr>
        <w:t xml:space="preserve"> </w:t>
      </w:r>
      <w:r w:rsidR="00D76A90" w:rsidRPr="00AD7AE4">
        <w:rPr>
          <w:color w:val="000000"/>
          <w:sz w:val="28"/>
          <w:szCs w:val="28"/>
          <w:lang w:val="nl-NL"/>
        </w:rPr>
        <w:t>nêu trên.</w:t>
      </w:r>
    </w:p>
    <w:p w:rsidR="009D401F" w:rsidRPr="00AD7AE4" w:rsidRDefault="009D401F" w:rsidP="000974E5">
      <w:pPr>
        <w:spacing w:after="100"/>
        <w:ind w:firstLine="680"/>
        <w:jc w:val="both"/>
        <w:rPr>
          <w:color w:val="000000"/>
          <w:sz w:val="28"/>
          <w:szCs w:val="28"/>
          <w:lang w:val="nl-NL"/>
        </w:rPr>
      </w:pPr>
      <w:r w:rsidRPr="00AD7AE4">
        <w:rPr>
          <w:color w:val="000000"/>
          <w:sz w:val="28"/>
          <w:szCs w:val="28"/>
          <w:lang w:val="nl-NL"/>
        </w:rPr>
        <w:t xml:space="preserve">Nếu được Hội đồng nhân dân tỉnh thống nhất điều chỉnh chủ trương đầu tư dự án, Ủy ban nhân dân tỉnh </w:t>
      </w:r>
      <w:r w:rsidR="00D45062" w:rsidRPr="00AD7AE4">
        <w:rPr>
          <w:color w:val="000000"/>
          <w:sz w:val="28"/>
          <w:szCs w:val="28"/>
          <w:lang w:val="nl-NL"/>
        </w:rPr>
        <w:t>sẽ</w:t>
      </w:r>
      <w:r w:rsidR="007B795B" w:rsidRPr="00AD7AE4">
        <w:rPr>
          <w:color w:val="000000"/>
          <w:sz w:val="28"/>
          <w:szCs w:val="28"/>
          <w:lang w:val="nl-NL"/>
        </w:rPr>
        <w:t xml:space="preserve"> </w:t>
      </w:r>
      <w:r w:rsidRPr="00AD7AE4">
        <w:rPr>
          <w:color w:val="000000"/>
          <w:sz w:val="28"/>
          <w:szCs w:val="28"/>
          <w:lang w:val="nl-NL"/>
        </w:rPr>
        <w:t>trình cấp thẩm quyền bố trí phần vốn còn lại của dự án trong Kế hoạch đầu tư công trung hạn giai đoạn 2021-2025 (</w:t>
      </w:r>
      <w:r w:rsidRPr="00AD7AE4">
        <w:rPr>
          <w:i/>
          <w:color w:val="000000"/>
          <w:sz w:val="28"/>
          <w:szCs w:val="28"/>
          <w:lang w:val="nl-NL"/>
        </w:rPr>
        <w:t>nguồn ngân sách tỉnh và các nguồn vốn hợp pháp khác</w:t>
      </w:r>
      <w:r w:rsidRPr="00AD7AE4">
        <w:rPr>
          <w:color w:val="000000"/>
          <w:sz w:val="28"/>
          <w:szCs w:val="28"/>
          <w:lang w:val="nl-NL"/>
        </w:rPr>
        <w:t>) để triển khai thực hiện hoàn thành dự án theo tiến độ.</w:t>
      </w:r>
    </w:p>
    <w:p w:rsidR="009B34D3" w:rsidRPr="00AD7AE4" w:rsidRDefault="0036283A" w:rsidP="000974E5">
      <w:pPr>
        <w:widowControl w:val="0"/>
        <w:spacing w:after="100"/>
        <w:ind w:firstLine="680"/>
        <w:jc w:val="both"/>
        <w:rPr>
          <w:sz w:val="28"/>
          <w:szCs w:val="28"/>
          <w:lang w:val="nl-NL"/>
        </w:rPr>
      </w:pPr>
      <w:r w:rsidRPr="00AD7AE4">
        <w:rPr>
          <w:b/>
          <w:sz w:val="28"/>
          <w:szCs w:val="28"/>
          <w:lang w:val="nl-NL"/>
        </w:rPr>
        <w:t>III</w:t>
      </w:r>
      <w:r w:rsidR="00440126" w:rsidRPr="00AD7AE4">
        <w:rPr>
          <w:b/>
          <w:sz w:val="28"/>
          <w:szCs w:val="28"/>
          <w:lang w:val="nl-NL"/>
        </w:rPr>
        <w:t xml:space="preserve">. </w:t>
      </w:r>
      <w:r w:rsidR="009B4075" w:rsidRPr="00AD7AE4">
        <w:rPr>
          <w:b/>
          <w:sz w:val="28"/>
          <w:szCs w:val="28"/>
          <w:lang w:val="nl-NL"/>
        </w:rPr>
        <w:t xml:space="preserve"> DANH MỤC </w:t>
      </w:r>
      <w:r w:rsidR="00440126" w:rsidRPr="00AD7AE4">
        <w:rPr>
          <w:b/>
          <w:sz w:val="28"/>
          <w:szCs w:val="28"/>
          <w:lang w:val="nl-NL"/>
        </w:rPr>
        <w:t>HỒ SƠ KÈM THEO</w:t>
      </w:r>
    </w:p>
    <w:p w:rsidR="009B34D3" w:rsidRPr="00A858AC" w:rsidRDefault="00440126" w:rsidP="000974E5">
      <w:pPr>
        <w:widowControl w:val="0"/>
        <w:spacing w:after="100"/>
        <w:ind w:firstLine="680"/>
        <w:jc w:val="both"/>
        <w:rPr>
          <w:sz w:val="28"/>
          <w:szCs w:val="28"/>
        </w:rPr>
      </w:pPr>
      <w:r w:rsidRPr="00A858AC">
        <w:rPr>
          <w:sz w:val="28"/>
          <w:szCs w:val="28"/>
        </w:rPr>
        <w:t>1.</w:t>
      </w:r>
      <w:r w:rsidR="009B34D3" w:rsidRPr="00A858AC">
        <w:rPr>
          <w:sz w:val="28"/>
          <w:szCs w:val="28"/>
        </w:rPr>
        <w:t xml:space="preserve"> Tờ trình số 105/TTr-SVHTTDL ngày 28 tháng 10 n</w:t>
      </w:r>
      <w:r w:rsidR="009B34D3" w:rsidRPr="00A858AC">
        <w:rPr>
          <w:rFonts w:hint="eastAsia"/>
          <w:sz w:val="28"/>
          <w:szCs w:val="28"/>
        </w:rPr>
        <w:t>ă</w:t>
      </w:r>
      <w:r w:rsidR="009B34D3" w:rsidRPr="00A858AC">
        <w:rPr>
          <w:sz w:val="28"/>
          <w:szCs w:val="28"/>
        </w:rPr>
        <w:t>m 2019 của Sở V</w:t>
      </w:r>
      <w:r w:rsidR="009B34D3" w:rsidRPr="00A858AC">
        <w:rPr>
          <w:rFonts w:hint="eastAsia"/>
          <w:sz w:val="28"/>
          <w:szCs w:val="28"/>
        </w:rPr>
        <w:t>ă</w:t>
      </w:r>
      <w:r w:rsidR="009B34D3" w:rsidRPr="00A858AC">
        <w:rPr>
          <w:sz w:val="28"/>
          <w:szCs w:val="28"/>
        </w:rPr>
        <w:t>n hóa, Thể thao và Du lịch tỉnh về việc điều chỉnh quyết định chủ trương đầu tư dự án Trung tâm V</w:t>
      </w:r>
      <w:r w:rsidR="009B34D3" w:rsidRPr="00A858AC">
        <w:rPr>
          <w:rFonts w:hint="eastAsia"/>
          <w:sz w:val="28"/>
          <w:szCs w:val="28"/>
        </w:rPr>
        <w:t>ă</w:t>
      </w:r>
      <w:r w:rsidR="009B34D3" w:rsidRPr="00A858AC">
        <w:rPr>
          <w:sz w:val="28"/>
          <w:szCs w:val="28"/>
        </w:rPr>
        <w:t>n hóa nghệ thuật tỉnh Kon Tum.</w:t>
      </w:r>
    </w:p>
    <w:p w:rsidR="009B34D3" w:rsidRPr="00A858AC" w:rsidRDefault="009B34D3" w:rsidP="000974E5">
      <w:pPr>
        <w:widowControl w:val="0"/>
        <w:spacing w:after="100"/>
        <w:ind w:firstLine="680"/>
        <w:jc w:val="both"/>
        <w:rPr>
          <w:sz w:val="28"/>
          <w:szCs w:val="28"/>
        </w:rPr>
      </w:pPr>
      <w:r w:rsidRPr="00A858AC">
        <w:rPr>
          <w:sz w:val="28"/>
          <w:szCs w:val="28"/>
        </w:rPr>
        <w:t>2. Báo cáo số 320/BC-SVHTTDL ngày 28 tháng 10 n</w:t>
      </w:r>
      <w:r w:rsidRPr="00A858AC">
        <w:rPr>
          <w:rFonts w:hint="eastAsia"/>
          <w:sz w:val="28"/>
          <w:szCs w:val="28"/>
        </w:rPr>
        <w:t>ă</w:t>
      </w:r>
      <w:r w:rsidRPr="00A858AC">
        <w:rPr>
          <w:sz w:val="28"/>
          <w:szCs w:val="28"/>
        </w:rPr>
        <w:t>m 2019 của Sở V</w:t>
      </w:r>
      <w:r w:rsidRPr="00A858AC">
        <w:rPr>
          <w:rFonts w:hint="eastAsia"/>
          <w:sz w:val="28"/>
          <w:szCs w:val="28"/>
        </w:rPr>
        <w:t>ă</w:t>
      </w:r>
      <w:r w:rsidRPr="00A858AC">
        <w:rPr>
          <w:sz w:val="28"/>
          <w:szCs w:val="28"/>
        </w:rPr>
        <w:t>n hóa, Thể thao và Du lịch tỉnh về đề xuất điều chỉnh chủ trương đầu tư dự án: Trung tâm Văn hóa nghệ thuật tỉnh Kon Tum.</w:t>
      </w:r>
    </w:p>
    <w:p w:rsidR="00AA67C6" w:rsidRPr="00A858AC" w:rsidRDefault="009B34D3" w:rsidP="000974E5">
      <w:pPr>
        <w:widowControl w:val="0"/>
        <w:spacing w:after="100"/>
        <w:ind w:firstLine="680"/>
        <w:jc w:val="both"/>
        <w:rPr>
          <w:sz w:val="28"/>
          <w:szCs w:val="28"/>
        </w:rPr>
      </w:pPr>
      <w:r w:rsidRPr="00A858AC">
        <w:rPr>
          <w:sz w:val="28"/>
          <w:szCs w:val="28"/>
        </w:rPr>
        <w:t>3. Báo cáo số 321/BC-SVHTTDL ngày 28 tháng 10 n</w:t>
      </w:r>
      <w:r w:rsidRPr="00A858AC">
        <w:rPr>
          <w:rFonts w:hint="eastAsia"/>
          <w:sz w:val="28"/>
          <w:szCs w:val="28"/>
        </w:rPr>
        <w:t>ă</w:t>
      </w:r>
      <w:r w:rsidRPr="00A858AC">
        <w:rPr>
          <w:sz w:val="28"/>
          <w:szCs w:val="28"/>
        </w:rPr>
        <w:t>m 2019 của Sở V</w:t>
      </w:r>
      <w:r w:rsidRPr="00A858AC">
        <w:rPr>
          <w:rFonts w:hint="eastAsia"/>
          <w:sz w:val="28"/>
          <w:szCs w:val="28"/>
        </w:rPr>
        <w:t>ă</w:t>
      </w:r>
      <w:r w:rsidRPr="00A858AC">
        <w:rPr>
          <w:sz w:val="28"/>
          <w:szCs w:val="28"/>
        </w:rPr>
        <w:t>n hóa, Thể thao và Du lịch tỉnh về kết quả thẩm định nội bộ xin điều chỉnh chủ trương đầu tư xây dựng dự án: Trung tâm Văn hóa nghệ thuật tỉnh Kon Tum.</w:t>
      </w:r>
    </w:p>
    <w:p w:rsidR="00AA67C6" w:rsidRPr="005E253F" w:rsidRDefault="009B34D3" w:rsidP="000974E5">
      <w:pPr>
        <w:widowControl w:val="0"/>
        <w:spacing w:after="100"/>
        <w:ind w:firstLine="680"/>
        <w:jc w:val="both"/>
        <w:rPr>
          <w:spacing w:val="-2"/>
          <w:sz w:val="28"/>
          <w:szCs w:val="28"/>
        </w:rPr>
      </w:pPr>
      <w:r w:rsidRPr="005E253F">
        <w:rPr>
          <w:spacing w:val="-2"/>
          <w:sz w:val="28"/>
          <w:szCs w:val="28"/>
        </w:rPr>
        <w:t>4. Văn bản số</w:t>
      </w:r>
      <w:r w:rsidR="006F393F" w:rsidRPr="005E253F">
        <w:rPr>
          <w:spacing w:val="-2"/>
          <w:sz w:val="28"/>
          <w:szCs w:val="28"/>
        </w:rPr>
        <w:t xml:space="preserve"> 1223/SVHTTDL-KHTC</w:t>
      </w:r>
      <w:r w:rsidRPr="005E253F">
        <w:rPr>
          <w:spacing w:val="-2"/>
          <w:sz w:val="28"/>
          <w:szCs w:val="28"/>
        </w:rPr>
        <w:t xml:space="preserve"> ngày 28 tháng 10 năm 2019 của Sở V</w:t>
      </w:r>
      <w:r w:rsidRPr="005E253F">
        <w:rPr>
          <w:rFonts w:hint="eastAsia"/>
          <w:spacing w:val="-2"/>
          <w:sz w:val="28"/>
          <w:szCs w:val="28"/>
        </w:rPr>
        <w:t>ă</w:t>
      </w:r>
      <w:r w:rsidRPr="005E253F">
        <w:rPr>
          <w:spacing w:val="-2"/>
          <w:sz w:val="28"/>
          <w:szCs w:val="28"/>
        </w:rPr>
        <w:t xml:space="preserve">n hóa, Thể thao và Du lịch tỉnh về việc báo cáo tiếp thu, giải trình nội dung góp </w:t>
      </w:r>
      <w:r w:rsidR="002F09E7" w:rsidRPr="005E253F">
        <w:rPr>
          <w:spacing w:val="-2"/>
          <w:sz w:val="28"/>
          <w:szCs w:val="28"/>
        </w:rPr>
        <w:t>ý điều chỉnh chủ trương đầu tư D</w:t>
      </w:r>
      <w:r w:rsidRPr="005E253F">
        <w:rPr>
          <w:spacing w:val="-2"/>
          <w:sz w:val="28"/>
          <w:szCs w:val="28"/>
        </w:rPr>
        <w:t>ự án Trung tâm Văn hóa nghệ thuật tỉnh Kon Tum.</w:t>
      </w:r>
    </w:p>
    <w:p w:rsidR="009B34D3" w:rsidRPr="00A858AC" w:rsidRDefault="009B34D3" w:rsidP="000974E5">
      <w:pPr>
        <w:widowControl w:val="0"/>
        <w:spacing w:after="100"/>
        <w:ind w:firstLine="680"/>
        <w:jc w:val="both"/>
        <w:rPr>
          <w:sz w:val="28"/>
          <w:szCs w:val="28"/>
        </w:rPr>
      </w:pPr>
      <w:r w:rsidRPr="00A858AC">
        <w:rPr>
          <w:sz w:val="28"/>
          <w:szCs w:val="28"/>
        </w:rPr>
        <w:t>5. Văn bản</w:t>
      </w:r>
      <w:r w:rsidR="00AA67C6" w:rsidRPr="00A858AC">
        <w:rPr>
          <w:sz w:val="28"/>
          <w:szCs w:val="28"/>
        </w:rPr>
        <w:t xml:space="preserve"> số 2334/SKHĐT-TH</w:t>
      </w:r>
      <w:r w:rsidRPr="00A858AC">
        <w:rPr>
          <w:sz w:val="28"/>
          <w:szCs w:val="28"/>
        </w:rPr>
        <w:t xml:space="preserve"> ngày 8 tháng 11 năm 2019 của Sở Kế hoạch và Đầu tư v</w:t>
      </w:r>
      <w:r w:rsidR="00AA67C6" w:rsidRPr="00A858AC">
        <w:rPr>
          <w:sz w:val="28"/>
          <w:szCs w:val="28"/>
        </w:rPr>
        <w:t>ề điều chỉnh chủ trương đầu tư D</w:t>
      </w:r>
      <w:r w:rsidRPr="00A858AC">
        <w:rPr>
          <w:sz w:val="28"/>
          <w:szCs w:val="28"/>
        </w:rPr>
        <w:t>ự án Trung tâm Văn hóa nghệ thuật tỉnh Kon Tum.</w:t>
      </w:r>
      <w:r w:rsidR="0036283A" w:rsidRPr="00A858AC">
        <w:rPr>
          <w:sz w:val="28"/>
          <w:szCs w:val="28"/>
        </w:rPr>
        <w:t>/.</w:t>
      </w:r>
    </w:p>
    <w:p w:rsidR="00176146" w:rsidRPr="00B037ED" w:rsidRDefault="00A858AC" w:rsidP="002F6BD3">
      <w:pPr>
        <w:widowControl w:val="0"/>
        <w:spacing w:after="120"/>
        <w:ind w:firstLine="680"/>
        <w:jc w:val="both"/>
        <w:rPr>
          <w:sz w:val="28"/>
          <w:szCs w:val="28"/>
        </w:rPr>
      </w:pPr>
      <w:r>
        <w:rPr>
          <w:noProof/>
          <w:sz w:val="28"/>
          <w:szCs w:val="28"/>
          <w:lang w:val="vi-VN" w:eastAsia="vi-VN"/>
        </w:rPr>
        <mc:AlternateContent>
          <mc:Choice Requires="wps">
            <w:drawing>
              <wp:anchor distT="0" distB="0" distL="114300" distR="114300" simplePos="0" relativeHeight="251660288" behindDoc="0" locked="0" layoutInCell="1" allowOverlap="1">
                <wp:simplePos x="0" y="0"/>
                <wp:positionH relativeFrom="column">
                  <wp:posOffset>1605280</wp:posOffset>
                </wp:positionH>
                <wp:positionV relativeFrom="paragraph">
                  <wp:posOffset>128270</wp:posOffset>
                </wp:positionV>
                <wp:extent cx="28289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2828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D2CAE7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6.4pt,10.1pt" to="349.1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" strokecolor="black [3213]" strokeweight=".5pt">
                <v:stroke joinstyle="miter"/>
              </v:line>
            </w:pict>
          </mc:Fallback>
        </mc:AlternateContent>
      </w:r>
    </w:p>
    <w:p w:rsidR="0041171E" w:rsidRDefault="0041171E"/>
    <w:sectPr w:rsidR="0041171E" w:rsidSect="00227C2D">
      <w:footerReference w:type="default" r:id="rId7"/>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B03" w:rsidRDefault="00872B03" w:rsidP="009B34D3">
      <w:r>
        <w:separator/>
      </w:r>
    </w:p>
  </w:endnote>
  <w:endnote w:type="continuationSeparator" w:id="0">
    <w:p w:rsidR="00872B03" w:rsidRDefault="00872B03" w:rsidP="009B3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680292"/>
      <w:docPartObj>
        <w:docPartGallery w:val="Page Numbers (Bottom of Page)"/>
        <w:docPartUnique/>
      </w:docPartObj>
    </w:sdtPr>
    <w:sdtEndPr>
      <w:rPr>
        <w:noProof/>
        <w:sz w:val="26"/>
        <w:szCs w:val="26"/>
      </w:rPr>
    </w:sdtEndPr>
    <w:sdtContent>
      <w:p w:rsidR="00D974C3" w:rsidRPr="00D974C3" w:rsidRDefault="00D974C3">
        <w:pPr>
          <w:pStyle w:val="Footer"/>
          <w:jc w:val="right"/>
          <w:rPr>
            <w:sz w:val="26"/>
            <w:szCs w:val="26"/>
          </w:rPr>
        </w:pPr>
        <w:r w:rsidRPr="00D974C3">
          <w:rPr>
            <w:sz w:val="26"/>
            <w:szCs w:val="26"/>
          </w:rPr>
          <w:fldChar w:fldCharType="begin"/>
        </w:r>
        <w:r w:rsidRPr="00D974C3">
          <w:rPr>
            <w:sz w:val="26"/>
            <w:szCs w:val="26"/>
          </w:rPr>
          <w:instrText xml:space="preserve"> PAGE   \* MERGEFORMAT </w:instrText>
        </w:r>
        <w:r w:rsidRPr="00D974C3">
          <w:rPr>
            <w:sz w:val="26"/>
            <w:szCs w:val="26"/>
          </w:rPr>
          <w:fldChar w:fldCharType="separate"/>
        </w:r>
        <w:r w:rsidR="00AD7AE4">
          <w:rPr>
            <w:noProof/>
            <w:sz w:val="26"/>
            <w:szCs w:val="26"/>
          </w:rPr>
          <w:t>1</w:t>
        </w:r>
        <w:r w:rsidRPr="00D974C3">
          <w:rPr>
            <w:noProof/>
            <w:sz w:val="26"/>
            <w:szCs w:val="26"/>
          </w:rPr>
          <w:fldChar w:fldCharType="end"/>
        </w:r>
      </w:p>
    </w:sdtContent>
  </w:sdt>
  <w:p w:rsidR="00D974C3" w:rsidRDefault="00D97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B03" w:rsidRDefault="00872B03" w:rsidP="009B34D3">
      <w:r>
        <w:separator/>
      </w:r>
    </w:p>
  </w:footnote>
  <w:footnote w:type="continuationSeparator" w:id="0">
    <w:p w:rsidR="00872B03" w:rsidRDefault="00872B03" w:rsidP="009B34D3">
      <w:r>
        <w:continuationSeparator/>
      </w:r>
    </w:p>
  </w:footnote>
  <w:footnote w:id="1">
    <w:p w:rsidR="009B34D3" w:rsidRPr="00312E20" w:rsidRDefault="009B34D3" w:rsidP="009B34D3">
      <w:pPr>
        <w:pStyle w:val="FootnoteText"/>
        <w:rPr>
          <w:sz w:val="18"/>
          <w:szCs w:val="18"/>
        </w:rPr>
      </w:pPr>
      <w:r w:rsidRPr="00312E20">
        <w:rPr>
          <w:sz w:val="18"/>
          <w:szCs w:val="18"/>
          <w:vertAlign w:val="superscript"/>
        </w:rPr>
        <w:t>(</w:t>
      </w:r>
      <w:r w:rsidRPr="00312E20">
        <w:rPr>
          <w:rStyle w:val="FootnoteReference"/>
          <w:sz w:val="18"/>
          <w:szCs w:val="18"/>
        </w:rPr>
        <w:footnoteRef/>
      </w:r>
      <w:r w:rsidRPr="00312E20">
        <w:rPr>
          <w:sz w:val="18"/>
          <w:szCs w:val="18"/>
          <w:vertAlign w:val="superscript"/>
        </w:rPr>
        <w:t>)</w:t>
      </w:r>
      <w:r w:rsidRPr="00312E20">
        <w:rPr>
          <w:sz w:val="18"/>
          <w:szCs w:val="18"/>
        </w:rPr>
        <w:t xml:space="preserve"> Tại Phụ lục kèm theo Thông báo số </w:t>
      </w:r>
      <w:r w:rsidR="00312E20">
        <w:rPr>
          <w:sz w:val="18"/>
          <w:szCs w:val="18"/>
        </w:rPr>
        <w:t xml:space="preserve">69/TB-HĐND ngày 30 tháng 11 năm </w:t>
      </w:r>
      <w:r w:rsidRPr="00312E20">
        <w:rPr>
          <w:sz w:val="18"/>
          <w:szCs w:val="18"/>
        </w:rPr>
        <w:t>2018 của Thường trực Hội đồng nhân dân tỉnh.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2E9"/>
    <w:rsid w:val="00026C35"/>
    <w:rsid w:val="0005550B"/>
    <w:rsid w:val="000745F7"/>
    <w:rsid w:val="000974E5"/>
    <w:rsid w:val="00171F8B"/>
    <w:rsid w:val="00176146"/>
    <w:rsid w:val="001F0614"/>
    <w:rsid w:val="00227C2D"/>
    <w:rsid w:val="0024223C"/>
    <w:rsid w:val="0029645B"/>
    <w:rsid w:val="002F09E7"/>
    <w:rsid w:val="002F6323"/>
    <w:rsid w:val="002F6BD3"/>
    <w:rsid w:val="00312E20"/>
    <w:rsid w:val="0033227F"/>
    <w:rsid w:val="00332AA5"/>
    <w:rsid w:val="0036283A"/>
    <w:rsid w:val="003A37D2"/>
    <w:rsid w:val="003F790F"/>
    <w:rsid w:val="0041171E"/>
    <w:rsid w:val="0041686B"/>
    <w:rsid w:val="00440126"/>
    <w:rsid w:val="00487C82"/>
    <w:rsid w:val="004A07ED"/>
    <w:rsid w:val="004E4C98"/>
    <w:rsid w:val="00501895"/>
    <w:rsid w:val="005D3063"/>
    <w:rsid w:val="005E253F"/>
    <w:rsid w:val="006B1F5F"/>
    <w:rsid w:val="006F393F"/>
    <w:rsid w:val="00706F0D"/>
    <w:rsid w:val="007B795B"/>
    <w:rsid w:val="00805B5E"/>
    <w:rsid w:val="00810579"/>
    <w:rsid w:val="00814BA1"/>
    <w:rsid w:val="008153C5"/>
    <w:rsid w:val="00850C60"/>
    <w:rsid w:val="00872B03"/>
    <w:rsid w:val="00896253"/>
    <w:rsid w:val="008A24EA"/>
    <w:rsid w:val="008D27EA"/>
    <w:rsid w:val="009253C2"/>
    <w:rsid w:val="00925CBF"/>
    <w:rsid w:val="009655EC"/>
    <w:rsid w:val="009737EC"/>
    <w:rsid w:val="009932E9"/>
    <w:rsid w:val="009B34D3"/>
    <w:rsid w:val="009B4075"/>
    <w:rsid w:val="009C47BB"/>
    <w:rsid w:val="009D401F"/>
    <w:rsid w:val="00A30F97"/>
    <w:rsid w:val="00A604F7"/>
    <w:rsid w:val="00A72571"/>
    <w:rsid w:val="00A858AC"/>
    <w:rsid w:val="00AA67C6"/>
    <w:rsid w:val="00AD7AE4"/>
    <w:rsid w:val="00B11805"/>
    <w:rsid w:val="00B11E3F"/>
    <w:rsid w:val="00B1586B"/>
    <w:rsid w:val="00B63CC1"/>
    <w:rsid w:val="00C04013"/>
    <w:rsid w:val="00C177B6"/>
    <w:rsid w:val="00C46728"/>
    <w:rsid w:val="00C77816"/>
    <w:rsid w:val="00C83BEE"/>
    <w:rsid w:val="00CB5A06"/>
    <w:rsid w:val="00CF4DC5"/>
    <w:rsid w:val="00D0254A"/>
    <w:rsid w:val="00D02E79"/>
    <w:rsid w:val="00D21C24"/>
    <w:rsid w:val="00D45062"/>
    <w:rsid w:val="00D5570C"/>
    <w:rsid w:val="00D76A90"/>
    <w:rsid w:val="00D974C3"/>
    <w:rsid w:val="00DC1997"/>
    <w:rsid w:val="00DE2F73"/>
    <w:rsid w:val="00E103D6"/>
    <w:rsid w:val="00E175BA"/>
    <w:rsid w:val="00E21E67"/>
    <w:rsid w:val="00E8460B"/>
    <w:rsid w:val="00EA566A"/>
    <w:rsid w:val="00EB5299"/>
    <w:rsid w:val="00F117CD"/>
    <w:rsid w:val="00F6694F"/>
    <w:rsid w:val="00F87859"/>
    <w:rsid w:val="00FB4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4D3"/>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rsid w:val="009B34D3"/>
    <w:rPr>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rsid w:val="009B34D3"/>
    <w:rPr>
      <w:rFonts w:eastAsia="Times New Roman" w:cs="Times New Roman"/>
      <w:sz w:val="20"/>
      <w:szCs w:val="20"/>
      <w:lang w:val="x-none" w:eastAsia="x-none"/>
    </w:rPr>
  </w:style>
  <w:style w:type="character" w:styleId="FootnoteReference">
    <w:name w:val="footnote reference"/>
    <w:aliases w:val="Footnote,Footnote text,Footnote Text1,ftref,BearingPoint,16 Point,Superscript 6 Point,fr,Ref,de nota al pie,Footnote Text11,f1,Footnote + Arial,10 pt,Black,Footnote Text111,BVI fnr,(NECG) Footnote Reference,footnote ref,BVI,f,R,BVI f"/>
    <w:unhideWhenUsed/>
    <w:qFormat/>
    <w:rsid w:val="009B34D3"/>
    <w:rPr>
      <w:vertAlign w:val="superscript"/>
    </w:rPr>
  </w:style>
  <w:style w:type="character" w:customStyle="1" w:styleId="fontstyle01">
    <w:name w:val="fontstyle01"/>
    <w:rsid w:val="009B34D3"/>
    <w:rPr>
      <w:rFonts w:ascii="Times New Roman" w:hAnsi="Times New Roman" w:cs="Times New Roman" w:hint="default"/>
      <w:b w:val="0"/>
      <w:bCs w:val="0"/>
      <w:i w:val="0"/>
      <w:iCs w:val="0"/>
      <w:color w:val="000000"/>
      <w:sz w:val="28"/>
      <w:szCs w:val="28"/>
    </w:rPr>
  </w:style>
  <w:style w:type="paragraph" w:styleId="BodyTextIndent2">
    <w:name w:val="Body Text Indent 2"/>
    <w:basedOn w:val="Normal"/>
    <w:link w:val="BodyTextIndent2Char"/>
    <w:unhideWhenUsed/>
    <w:rsid w:val="009B34D3"/>
    <w:pPr>
      <w:spacing w:after="60"/>
      <w:ind w:firstLine="567"/>
      <w:jc w:val="both"/>
    </w:pPr>
    <w:rPr>
      <w:color w:val="0000FF"/>
      <w:sz w:val="28"/>
      <w:szCs w:val="20"/>
      <w:lang w:val="x-none" w:eastAsia="x-none"/>
    </w:rPr>
  </w:style>
  <w:style w:type="character" w:customStyle="1" w:styleId="BodyTextIndent2Char">
    <w:name w:val="Body Text Indent 2 Char"/>
    <w:basedOn w:val="DefaultParagraphFont"/>
    <w:link w:val="BodyTextIndent2"/>
    <w:rsid w:val="009B34D3"/>
    <w:rPr>
      <w:rFonts w:eastAsia="Times New Roman" w:cs="Times New Roman"/>
      <w:color w:val="0000FF"/>
      <w:sz w:val="28"/>
      <w:szCs w:val="20"/>
      <w:lang w:val="x-none" w:eastAsia="x-none"/>
    </w:rPr>
  </w:style>
  <w:style w:type="paragraph" w:styleId="Header">
    <w:name w:val="header"/>
    <w:basedOn w:val="Normal"/>
    <w:link w:val="HeaderChar"/>
    <w:uiPriority w:val="99"/>
    <w:unhideWhenUsed/>
    <w:rsid w:val="00D974C3"/>
    <w:pPr>
      <w:tabs>
        <w:tab w:val="center" w:pos="4680"/>
        <w:tab w:val="right" w:pos="9360"/>
      </w:tabs>
    </w:pPr>
  </w:style>
  <w:style w:type="character" w:customStyle="1" w:styleId="HeaderChar">
    <w:name w:val="Header Char"/>
    <w:basedOn w:val="DefaultParagraphFont"/>
    <w:link w:val="Header"/>
    <w:uiPriority w:val="99"/>
    <w:rsid w:val="00D974C3"/>
    <w:rPr>
      <w:rFonts w:eastAsia="Times New Roman" w:cs="Times New Roman"/>
      <w:szCs w:val="24"/>
    </w:rPr>
  </w:style>
  <w:style w:type="paragraph" w:styleId="Footer">
    <w:name w:val="footer"/>
    <w:basedOn w:val="Normal"/>
    <w:link w:val="FooterChar"/>
    <w:uiPriority w:val="99"/>
    <w:unhideWhenUsed/>
    <w:rsid w:val="00D974C3"/>
    <w:pPr>
      <w:tabs>
        <w:tab w:val="center" w:pos="4680"/>
        <w:tab w:val="right" w:pos="9360"/>
      </w:tabs>
    </w:pPr>
  </w:style>
  <w:style w:type="character" w:customStyle="1" w:styleId="FooterChar">
    <w:name w:val="Footer Char"/>
    <w:basedOn w:val="DefaultParagraphFont"/>
    <w:link w:val="Footer"/>
    <w:uiPriority w:val="99"/>
    <w:rsid w:val="00D974C3"/>
    <w:rPr>
      <w:rFonts w:eastAsia="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4D3"/>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rsid w:val="009B34D3"/>
    <w:rPr>
      <w:sz w:val="20"/>
      <w:szCs w:val="20"/>
      <w:lang w:val="x-none" w:eastAsia="x-none"/>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rsid w:val="009B34D3"/>
    <w:rPr>
      <w:rFonts w:eastAsia="Times New Roman" w:cs="Times New Roman"/>
      <w:sz w:val="20"/>
      <w:szCs w:val="20"/>
      <w:lang w:val="x-none" w:eastAsia="x-none"/>
    </w:rPr>
  </w:style>
  <w:style w:type="character" w:styleId="FootnoteReference">
    <w:name w:val="footnote reference"/>
    <w:aliases w:val="Footnote,Footnote text,Footnote Text1,ftref,BearingPoint,16 Point,Superscript 6 Point,fr,Ref,de nota al pie,Footnote Text11,f1,Footnote + Arial,10 pt,Black,Footnote Text111,BVI fnr,(NECG) Footnote Reference,footnote ref,BVI,f,R,BVI f"/>
    <w:unhideWhenUsed/>
    <w:qFormat/>
    <w:rsid w:val="009B34D3"/>
    <w:rPr>
      <w:vertAlign w:val="superscript"/>
    </w:rPr>
  </w:style>
  <w:style w:type="character" w:customStyle="1" w:styleId="fontstyle01">
    <w:name w:val="fontstyle01"/>
    <w:rsid w:val="009B34D3"/>
    <w:rPr>
      <w:rFonts w:ascii="Times New Roman" w:hAnsi="Times New Roman" w:cs="Times New Roman" w:hint="default"/>
      <w:b w:val="0"/>
      <w:bCs w:val="0"/>
      <w:i w:val="0"/>
      <w:iCs w:val="0"/>
      <w:color w:val="000000"/>
      <w:sz w:val="28"/>
      <w:szCs w:val="28"/>
    </w:rPr>
  </w:style>
  <w:style w:type="paragraph" w:styleId="BodyTextIndent2">
    <w:name w:val="Body Text Indent 2"/>
    <w:basedOn w:val="Normal"/>
    <w:link w:val="BodyTextIndent2Char"/>
    <w:unhideWhenUsed/>
    <w:rsid w:val="009B34D3"/>
    <w:pPr>
      <w:spacing w:after="60"/>
      <w:ind w:firstLine="567"/>
      <w:jc w:val="both"/>
    </w:pPr>
    <w:rPr>
      <w:color w:val="0000FF"/>
      <w:sz w:val="28"/>
      <w:szCs w:val="20"/>
      <w:lang w:val="x-none" w:eastAsia="x-none"/>
    </w:rPr>
  </w:style>
  <w:style w:type="character" w:customStyle="1" w:styleId="BodyTextIndent2Char">
    <w:name w:val="Body Text Indent 2 Char"/>
    <w:basedOn w:val="DefaultParagraphFont"/>
    <w:link w:val="BodyTextIndent2"/>
    <w:rsid w:val="009B34D3"/>
    <w:rPr>
      <w:rFonts w:eastAsia="Times New Roman" w:cs="Times New Roman"/>
      <w:color w:val="0000FF"/>
      <w:sz w:val="28"/>
      <w:szCs w:val="20"/>
      <w:lang w:val="x-none" w:eastAsia="x-none"/>
    </w:rPr>
  </w:style>
  <w:style w:type="paragraph" w:styleId="Header">
    <w:name w:val="header"/>
    <w:basedOn w:val="Normal"/>
    <w:link w:val="HeaderChar"/>
    <w:uiPriority w:val="99"/>
    <w:unhideWhenUsed/>
    <w:rsid w:val="00D974C3"/>
    <w:pPr>
      <w:tabs>
        <w:tab w:val="center" w:pos="4680"/>
        <w:tab w:val="right" w:pos="9360"/>
      </w:tabs>
    </w:pPr>
  </w:style>
  <w:style w:type="character" w:customStyle="1" w:styleId="HeaderChar">
    <w:name w:val="Header Char"/>
    <w:basedOn w:val="DefaultParagraphFont"/>
    <w:link w:val="Header"/>
    <w:uiPriority w:val="99"/>
    <w:rsid w:val="00D974C3"/>
    <w:rPr>
      <w:rFonts w:eastAsia="Times New Roman" w:cs="Times New Roman"/>
      <w:szCs w:val="24"/>
    </w:rPr>
  </w:style>
  <w:style w:type="paragraph" w:styleId="Footer">
    <w:name w:val="footer"/>
    <w:basedOn w:val="Normal"/>
    <w:link w:val="FooterChar"/>
    <w:uiPriority w:val="99"/>
    <w:unhideWhenUsed/>
    <w:rsid w:val="00D974C3"/>
    <w:pPr>
      <w:tabs>
        <w:tab w:val="center" w:pos="4680"/>
        <w:tab w:val="right" w:pos="9360"/>
      </w:tabs>
    </w:pPr>
  </w:style>
  <w:style w:type="character" w:customStyle="1" w:styleId="FooterChar">
    <w:name w:val="Footer Char"/>
    <w:basedOn w:val="DefaultParagraphFont"/>
    <w:link w:val="Footer"/>
    <w:uiPriority w:val="99"/>
    <w:rsid w:val="00D974C3"/>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625</Words>
  <Characters>3566</Characters>
  <Application>Microsoft Office Word</Application>
  <DocSecurity>0</DocSecurity>
  <Lines>29</Lines>
  <Paragraphs>8</Paragraphs>
  <ScaleCrop>false</ScaleCrop>
  <Company/>
  <LinksUpToDate>false</LinksUpToDate>
  <CharactersWithSpaces>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tuan tephanno</dc:creator>
  <cp:keywords/>
  <dc:description/>
  <cp:lastModifiedBy>Admin</cp:lastModifiedBy>
  <cp:revision>80</cp:revision>
  <dcterms:created xsi:type="dcterms:W3CDTF">2019-11-25T02:31:00Z</dcterms:created>
  <dcterms:modified xsi:type="dcterms:W3CDTF">2019-11-29T00:02:00Z</dcterms:modified>
</cp:coreProperties>
</file>