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50" w:rsidRPr="002E718B" w:rsidRDefault="00C17950" w:rsidP="00C17950">
      <w:pPr>
        <w:spacing w:before="0" w:after="120" w:line="240" w:lineRule="auto"/>
        <w:ind w:firstLine="720"/>
        <w:jc w:val="both"/>
        <w:rPr>
          <w:sz w:val="28"/>
          <w:szCs w:val="28"/>
          <w:highlight w:val="white"/>
        </w:rPr>
      </w:pPr>
    </w:p>
    <w:p w:rsidR="00C17950" w:rsidRPr="002E718B" w:rsidRDefault="00C17950" w:rsidP="00C17950">
      <w:pPr>
        <w:spacing w:before="0" w:after="0" w:line="240" w:lineRule="auto"/>
        <w:jc w:val="center"/>
        <w:rPr>
          <w:b/>
          <w:sz w:val="28"/>
          <w:szCs w:val="28"/>
          <w:highlight w:val="white"/>
        </w:rPr>
      </w:pPr>
      <w:r w:rsidRPr="002E718B">
        <w:rPr>
          <w:b/>
          <w:sz w:val="28"/>
          <w:szCs w:val="28"/>
          <w:highlight w:val="white"/>
        </w:rPr>
        <w:t>PHỤ LỤC 02</w:t>
      </w:r>
    </w:p>
    <w:p w:rsidR="00C17950" w:rsidRPr="002E718B" w:rsidRDefault="00C17950" w:rsidP="00C17950">
      <w:pPr>
        <w:spacing w:before="0" w:after="0" w:line="240" w:lineRule="auto"/>
        <w:jc w:val="center"/>
        <w:rPr>
          <w:b/>
          <w:sz w:val="28"/>
          <w:szCs w:val="28"/>
          <w:highlight w:val="white"/>
        </w:rPr>
      </w:pPr>
      <w:r w:rsidRPr="002E718B">
        <w:rPr>
          <w:b/>
          <w:sz w:val="28"/>
          <w:szCs w:val="28"/>
          <w:highlight w:val="white"/>
        </w:rPr>
        <w:t xml:space="preserve"> Thuyết minh chỉ tiêu tăng trưởng năm 2019</w:t>
      </w:r>
    </w:p>
    <w:p w:rsidR="00C17950" w:rsidRPr="002E718B" w:rsidRDefault="00C17950" w:rsidP="00C17950">
      <w:pPr>
        <w:widowControl w:val="0"/>
        <w:spacing w:before="0" w:after="0" w:line="240" w:lineRule="auto"/>
        <w:jc w:val="center"/>
        <w:rPr>
          <w:i/>
          <w:sz w:val="28"/>
          <w:szCs w:val="28"/>
          <w:highlight w:val="white"/>
        </w:rPr>
      </w:pPr>
      <w:r w:rsidRPr="002E718B">
        <w:rPr>
          <w:i/>
          <w:sz w:val="28"/>
          <w:szCs w:val="28"/>
          <w:highlight w:val="white"/>
        </w:rPr>
        <w:t xml:space="preserve">(Kèm theo Báo cáo </w:t>
      </w:r>
      <w:r w:rsidRPr="002E718B">
        <w:rPr>
          <w:i/>
          <w:sz w:val="28"/>
          <w:szCs w:val="28"/>
          <w:highlight w:val="white"/>
          <w:u w:color="FF0000"/>
        </w:rPr>
        <w:t xml:space="preserve">số </w:t>
      </w:r>
      <w:r w:rsidR="00AC4828">
        <w:rPr>
          <w:i/>
          <w:sz w:val="28"/>
          <w:szCs w:val="28"/>
          <w:highlight w:val="white"/>
          <w:u w:color="FF0000"/>
        </w:rPr>
        <w:t>313</w:t>
      </w:r>
      <w:r w:rsidRPr="002E718B">
        <w:rPr>
          <w:i/>
          <w:sz w:val="28"/>
          <w:szCs w:val="28"/>
          <w:highlight w:val="white"/>
          <w:u w:color="FF0000"/>
        </w:rPr>
        <w:t>/BC</w:t>
      </w:r>
      <w:r w:rsidR="00AC4828">
        <w:rPr>
          <w:i/>
          <w:sz w:val="28"/>
          <w:szCs w:val="28"/>
          <w:highlight w:val="white"/>
        </w:rPr>
        <w:t>-UBND ngày 03</w:t>
      </w:r>
      <w:r w:rsidRPr="002E718B">
        <w:rPr>
          <w:i/>
          <w:sz w:val="28"/>
          <w:szCs w:val="28"/>
          <w:highlight w:val="white"/>
        </w:rPr>
        <w:t xml:space="preserve"> tháng </w:t>
      </w:r>
      <w:r w:rsidR="00AC4828">
        <w:rPr>
          <w:i/>
          <w:sz w:val="28"/>
          <w:szCs w:val="28"/>
          <w:highlight w:val="white"/>
        </w:rPr>
        <w:t>12</w:t>
      </w:r>
      <w:r w:rsidRPr="002E718B">
        <w:rPr>
          <w:i/>
          <w:sz w:val="28"/>
          <w:szCs w:val="28"/>
          <w:highlight w:val="white"/>
        </w:rPr>
        <w:t xml:space="preserve"> năm </w:t>
      </w:r>
      <w:r w:rsidR="00AC4828">
        <w:rPr>
          <w:i/>
          <w:sz w:val="28"/>
          <w:szCs w:val="28"/>
          <w:highlight w:val="white"/>
        </w:rPr>
        <w:t>2019</w:t>
      </w:r>
      <w:r w:rsidRPr="002E718B">
        <w:rPr>
          <w:i/>
          <w:sz w:val="28"/>
          <w:szCs w:val="28"/>
          <w:highlight w:val="white"/>
        </w:rPr>
        <w:t xml:space="preserve"> của  </w:t>
      </w:r>
    </w:p>
    <w:p w:rsidR="00C17950" w:rsidRPr="002E718B" w:rsidRDefault="00C17950" w:rsidP="00C17950">
      <w:pPr>
        <w:widowControl w:val="0"/>
        <w:spacing w:before="0" w:after="0" w:line="240" w:lineRule="auto"/>
        <w:jc w:val="center"/>
        <w:rPr>
          <w:i/>
          <w:sz w:val="28"/>
          <w:szCs w:val="28"/>
          <w:highlight w:val="white"/>
        </w:rPr>
      </w:pPr>
      <w:r w:rsidRPr="002E718B">
        <w:rPr>
          <w:i/>
          <w:sz w:val="28"/>
          <w:szCs w:val="28"/>
          <w:highlight w:val="white"/>
        </w:rPr>
        <w:t>Ủy ban nhân dân tỉnh)</w:t>
      </w:r>
    </w:p>
    <w:p w:rsidR="00C17950" w:rsidRPr="002E718B" w:rsidRDefault="002D2366" w:rsidP="00C17950">
      <w:pPr>
        <w:rPr>
          <w:highlight w:val="white"/>
        </w:rPr>
      </w:pPr>
      <w:r w:rsidRPr="002D2366">
        <w:rPr>
          <w:noProof/>
          <w:highlight w:val="white"/>
        </w:rPr>
        <w:pict>
          <v:line id="Straight Connector 1" o:spid="_x0000_s1026" style="position:absolute;z-index:251657216;visibility:visible;mso-wrap-distance-top:-3e-5mm;mso-wrap-distance-bottom:-3e-5mm;mso-width-relative:margin;mso-height-relative:margin" from="172.2pt,1.15pt" to="276.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" strokecolor="windowText" strokeweight=".5pt">
            <v:stroke joinstyle="miter"/>
            <o:lock v:ext="edit" shapetype="f"/>
          </v:line>
        </w:pict>
      </w:r>
    </w:p>
    <w:p w:rsidR="00C17950" w:rsidRPr="002E718B" w:rsidRDefault="00C17950" w:rsidP="00C17950">
      <w:pPr>
        <w:spacing w:before="0" w:after="80" w:line="240" w:lineRule="auto"/>
        <w:ind w:firstLine="567"/>
        <w:jc w:val="both"/>
        <w:rPr>
          <w:sz w:val="28"/>
          <w:szCs w:val="28"/>
          <w:highlight w:val="white"/>
        </w:rPr>
      </w:pPr>
      <w:r w:rsidRPr="002E718B">
        <w:rPr>
          <w:sz w:val="28"/>
          <w:szCs w:val="28"/>
          <w:highlight w:val="white"/>
        </w:rPr>
        <w:t xml:space="preserve">Qua rà soát, tính toán của các sở, ngành của tỉnh, ước tốc độ tăng tổng sản phẩm trên địa bàn (GRDP) năm 2019 có thể đạt 9,96% so với năm 2018. Tốc độ tăng trưởng năm 2019 tăng cao so với các năm trước đây ngoài các yếu tố thuận lợi chung như kinh tế thế giới và trong nước tiếp tục phục hồi, </w:t>
      </w:r>
      <w:r w:rsidRPr="002E718B">
        <w:rPr>
          <w:sz w:val="28"/>
          <w:szCs w:val="28"/>
          <w:highlight w:val="white"/>
          <w:u w:color="FF0000"/>
        </w:rPr>
        <w:t>dư địa</w:t>
      </w:r>
      <w:r w:rsidRPr="002E718B">
        <w:rPr>
          <w:sz w:val="28"/>
          <w:szCs w:val="28"/>
          <w:highlight w:val="white"/>
        </w:rPr>
        <w:t xml:space="preserve"> tăng trưởng kinh tế của tỉnh đã đạt trong các năm gần đây thì còn tác động bởi các yếu tố chính sau đây: </w:t>
      </w:r>
    </w:p>
    <w:p w:rsidR="00C17950" w:rsidRPr="002E718B" w:rsidRDefault="00C17950" w:rsidP="00C17950">
      <w:pPr>
        <w:spacing w:before="0" w:after="80" w:line="240" w:lineRule="auto"/>
        <w:ind w:firstLine="567"/>
        <w:jc w:val="both"/>
        <w:rPr>
          <w:sz w:val="28"/>
          <w:szCs w:val="28"/>
          <w:highlight w:val="white"/>
        </w:rPr>
      </w:pPr>
      <w:r w:rsidRPr="002E718B">
        <w:rPr>
          <w:b/>
          <w:sz w:val="28"/>
          <w:szCs w:val="28"/>
          <w:highlight w:val="white"/>
        </w:rPr>
        <w:t>1. Khu vực Nông, lâm và thủy sản:</w:t>
      </w:r>
    </w:p>
    <w:p w:rsidR="00C17950" w:rsidRPr="002E718B" w:rsidRDefault="00C17950" w:rsidP="00C17950">
      <w:pPr>
        <w:shd w:val="clear" w:color="auto" w:fill="FFFFFF"/>
        <w:spacing w:before="0" w:after="80" w:line="240" w:lineRule="auto"/>
        <w:ind w:firstLine="567"/>
        <w:jc w:val="both"/>
        <w:rPr>
          <w:sz w:val="28"/>
          <w:szCs w:val="28"/>
          <w:highlight w:val="white"/>
        </w:rPr>
      </w:pPr>
      <w:r w:rsidRPr="002E718B">
        <w:rPr>
          <w:sz w:val="28"/>
          <w:szCs w:val="28"/>
          <w:highlight w:val="white"/>
        </w:rPr>
        <w:t>Trong năm 2019, các loại cây trồng chủ yếu như lúa, sắn, cà phê, cao su,… duy trì và tăng về năng suất, sản lượng so với cùng kỳ năm ngoái; các sản phẩm nông nghiệp như cà phê nhân, mủ cao su, sắn,.. và nuôi trồng thủy hải sản đều tăng so với cùng kỳ năm 2018. Dịch vụ nông nghiệp và các sản phẩm khác cũng tăng ấn tượng với trên 10% so với cùng kỳ. Góp phần duy trì đà tăng trưởng của ngành nông nghiệp so với năm 2018.</w:t>
      </w:r>
    </w:p>
    <w:p w:rsidR="00C17950" w:rsidRPr="002E718B" w:rsidRDefault="00C17950" w:rsidP="00C17950">
      <w:pPr>
        <w:pStyle w:val="BodyText2"/>
        <w:spacing w:before="0" w:after="80" w:line="240" w:lineRule="auto"/>
        <w:ind w:firstLine="567"/>
        <w:jc w:val="both"/>
        <w:rPr>
          <w:sz w:val="28"/>
          <w:szCs w:val="28"/>
          <w:highlight w:val="white"/>
        </w:rPr>
      </w:pPr>
      <w:r w:rsidRPr="002E718B">
        <w:rPr>
          <w:sz w:val="28"/>
          <w:szCs w:val="28"/>
          <w:highlight w:val="white"/>
        </w:rPr>
        <w:t xml:space="preserve">Đặc biệt, các sản phẩm của lĩnh vực nông nghiệp ứng dụng công nghệ cao được phát triển mạnh và đa dạng hơn; đã có nhiều sản phẩm nông nghiệp ứng dụng công nghệ cao đạt kết quả tốt, đáp ứng tiêu chuẩn an toàn thực phẩm, Viet Gap, hữu cơ, ứng dụng công nghệ cao như: bí Nhật, bắp sú, cà chua bi, dâu tây, cà rốt, khoai tây, súp lơ, xà lách, cam, bưởi, chanh, bơ, chuối,... Các dược liệu như: Hồng đảng sâm (Sâm dây) cho thu hoạch khoảng 300ha; Các dược liệu khác (ngũ vị tử, đinh lăng, đương quy, lan kim tuyến,....) cho thu hoạch khoảng 450ha; Sâm Ngọc Linh Kon Tum cho thu hoạch và đang tiếp tục được mở rộng, tạo ra được các vùng chuyên canh nguyên liệu tập trung cho công nghiệp chế biến. Các dự án lớn về nông nghiệp được tiếp tục triển khai thực hiện nhanh như: Dự án nông </w:t>
      </w:r>
      <w:r w:rsidRPr="002E718B">
        <w:rPr>
          <w:sz w:val="28"/>
          <w:szCs w:val="28"/>
          <w:highlight w:val="white"/>
          <w:shd w:val="clear" w:color="auto" w:fill="FCFCFC"/>
        </w:rPr>
        <w:t>nghiệp công nghệ cao với quy mô 1.000 ha, tổng mức đầu tư 1.000 tỷ đồng của Công ty Vin Eco;</w:t>
      </w:r>
      <w:r w:rsidRPr="002E718B">
        <w:rPr>
          <w:sz w:val="28"/>
          <w:szCs w:val="28"/>
          <w:highlight w:val="white"/>
        </w:rPr>
        <w:t xml:space="preserve"> Dự án Đầu tư quản lý, bảo vệ và phát triển rừng, kết hợp bảo vệ và phát triển cây dược liệu (Sâm Ngọc Linh) dưới tán rừng tại huyện Tu Mơ Rông của Công ty Cổ phần Sâm Ngọc Linh Kon Tum với tổng vốn đầu tư gần 5.000 tỷ đồng;… Ngoài ra, việc một số tập đoàn lớn như Tập đoàn TH khảo sát và dự kiến triển khai một số dự án lớn về nông nghiệp trên địa bàn tỉnh trong năm 2020 như: </w:t>
      </w:r>
      <w:r w:rsidRPr="002E718B">
        <w:rPr>
          <w:noProof/>
          <w:sz w:val="28"/>
          <w:szCs w:val="28"/>
          <w:highlight w:val="white"/>
        </w:rPr>
        <w:t>Dự án trồng cây ăn quả và xây dựng nhà máy chế biến tại huyện Kon Rẫy diện tích khoảng 500ha</w:t>
      </w:r>
      <w:r w:rsidRPr="002E718B">
        <w:rPr>
          <w:iCs/>
          <w:noProof/>
          <w:sz w:val="28"/>
          <w:szCs w:val="28"/>
          <w:highlight w:val="white"/>
        </w:rPr>
        <w:t xml:space="preserve">; </w:t>
      </w:r>
      <w:r w:rsidRPr="002E718B">
        <w:rPr>
          <w:noProof/>
          <w:sz w:val="28"/>
          <w:szCs w:val="28"/>
          <w:highlight w:val="white"/>
        </w:rPr>
        <w:t>Dự án chăn nuôi bò sữa và nhà máy chế biến tại xã Mô Rai, huyện Sa Thầydiện tích khoảng 640 ha</w:t>
      </w:r>
      <w:r w:rsidRPr="002E718B">
        <w:rPr>
          <w:iCs/>
          <w:noProof/>
          <w:sz w:val="28"/>
          <w:szCs w:val="28"/>
          <w:highlight w:val="white"/>
        </w:rPr>
        <w:t>;</w:t>
      </w:r>
      <w:r w:rsidRPr="002E718B">
        <w:rPr>
          <w:rFonts w:eastAsia="MS Gothic"/>
          <w:sz w:val="28"/>
          <w:szCs w:val="28"/>
          <w:highlight w:val="white"/>
        </w:rPr>
        <w:t xml:space="preserve">... </w:t>
      </w:r>
      <w:r w:rsidRPr="002E718B">
        <w:rPr>
          <w:sz w:val="28"/>
          <w:szCs w:val="28"/>
          <w:highlight w:val="white"/>
        </w:rPr>
        <w:t>cũng đã góp phần tạo niềm tin và tâm lý phấn khởi cho người dân và doanh nghiệp trong việc phát triển sản xuất, tiêu thụ các sản phẩm nông nghiệp nói chung và nông nghiệp ứng dụng công nghệ cao nói riêng.</w:t>
      </w:r>
    </w:p>
    <w:p w:rsidR="00C17950" w:rsidRPr="002E718B" w:rsidRDefault="00C17950" w:rsidP="00C17950">
      <w:pPr>
        <w:pStyle w:val="BodyText2"/>
        <w:spacing w:before="0" w:after="80" w:line="240" w:lineRule="auto"/>
        <w:ind w:firstLine="567"/>
        <w:jc w:val="both"/>
        <w:rPr>
          <w:noProof/>
          <w:sz w:val="28"/>
          <w:szCs w:val="28"/>
          <w:highlight w:val="white"/>
        </w:rPr>
      </w:pPr>
      <w:r w:rsidRPr="002E718B">
        <w:rPr>
          <w:b/>
          <w:sz w:val="28"/>
          <w:szCs w:val="28"/>
          <w:highlight w:val="white"/>
        </w:rPr>
        <w:t>2. Khu vực Công nghiệp, xây dựng:</w:t>
      </w:r>
    </w:p>
    <w:p w:rsidR="00C17950" w:rsidRPr="002E718B" w:rsidRDefault="00C17950" w:rsidP="00C17950">
      <w:pPr>
        <w:spacing w:before="0" w:after="80" w:line="240" w:lineRule="auto"/>
        <w:ind w:firstLine="567"/>
        <w:jc w:val="both"/>
        <w:rPr>
          <w:rFonts w:eastAsia="Times New Roman"/>
          <w:sz w:val="28"/>
          <w:szCs w:val="28"/>
          <w:highlight w:val="white"/>
        </w:rPr>
      </w:pPr>
      <w:r w:rsidRPr="002E718B">
        <w:rPr>
          <w:i/>
          <w:sz w:val="28"/>
          <w:szCs w:val="28"/>
          <w:highlight w:val="white"/>
        </w:rPr>
        <w:t>2.1. Lĩnh vực Công nghiệp:</w:t>
      </w:r>
    </w:p>
    <w:p w:rsidR="00C17950" w:rsidRPr="002E718B" w:rsidRDefault="00C17950" w:rsidP="00C17950">
      <w:pPr>
        <w:spacing w:before="0" w:after="80" w:line="240" w:lineRule="auto"/>
        <w:ind w:firstLine="567"/>
        <w:jc w:val="both"/>
        <w:rPr>
          <w:rFonts w:eastAsia="Times New Roman"/>
          <w:sz w:val="28"/>
          <w:szCs w:val="28"/>
          <w:highlight w:val="white"/>
        </w:rPr>
      </w:pPr>
      <w:r w:rsidRPr="002E718B">
        <w:rPr>
          <w:rFonts w:eastAsia="Times New Roman"/>
          <w:sz w:val="28"/>
          <w:szCs w:val="28"/>
          <w:highlight w:val="white"/>
        </w:rPr>
        <w:lastRenderedPageBreak/>
        <w:t xml:space="preserve">Các ngành công nghiệp chế biến cà phê và cao su hoạt động tương đối ổn định. Để đảm bảo cho hoạt động sản xuất, các Nhà máy chế biến tinh bột sắn đã nhập củ sắn tươi từ Lào, vì vậy đã giải quyết được phần nào thiếu hụt nguồn nguyên liệu, đảm bảo cho hoạt động sản xuất của các nhà máy ổn định. </w:t>
      </w:r>
    </w:p>
    <w:p w:rsidR="00C17950" w:rsidRPr="002E718B" w:rsidRDefault="00C17950" w:rsidP="00C17950">
      <w:pPr>
        <w:spacing w:before="0" w:after="80" w:line="240" w:lineRule="auto"/>
        <w:ind w:firstLine="567"/>
        <w:jc w:val="both"/>
        <w:rPr>
          <w:rFonts w:eastAsia="Times New Roman"/>
          <w:sz w:val="28"/>
          <w:szCs w:val="28"/>
          <w:highlight w:val="white"/>
        </w:rPr>
      </w:pPr>
      <w:r w:rsidRPr="002E718B">
        <w:rPr>
          <w:rFonts w:eastAsia="Times New Roman"/>
          <w:sz w:val="28"/>
          <w:szCs w:val="28"/>
          <w:highlight w:val="white"/>
        </w:rPr>
        <w:t xml:space="preserve">Ngành khai thác khoáng sản: Năm 2019, tăng hơn những năm qua do nhu cầu về vật liệu xây dựng thông thường (cát, đá, đất san lấp) phục vụ xây dựng các dự án lớn như: Đường giao thông kết nối đường Hồ Chí Minh đi Quốc lộ 24; Dự án tuyến tránh đường Hồ Chí Minh, đoạn qua thành phố Kon Tum  (Tiểu dự án 1); Dự án tuyến tránh đường Hồ Chí Minh, đoạn qua thành phố Kon Tum  (Tiểu dự án 2);Cụm công trình thủy lợi Ia H’Drai; </w:t>
      </w:r>
      <w:r w:rsidRPr="002E718B">
        <w:rPr>
          <w:bCs/>
          <w:iCs/>
          <w:sz w:val="28"/>
          <w:szCs w:val="28"/>
          <w:highlight w:val="white"/>
        </w:rPr>
        <w:t>Dự án Tổ hợp Trung tâm thương mại kết hợp nhà ở thương mại (</w:t>
      </w:r>
      <w:r w:rsidRPr="002E718B">
        <w:rPr>
          <w:bCs/>
          <w:iCs/>
          <w:sz w:val="28"/>
          <w:szCs w:val="28"/>
          <w:highlight w:val="white"/>
          <w:u w:color="FF0000"/>
        </w:rPr>
        <w:t>shophouse</w:t>
      </w:r>
      <w:r w:rsidRPr="002E718B">
        <w:rPr>
          <w:bCs/>
          <w:iCs/>
          <w:sz w:val="28"/>
          <w:szCs w:val="28"/>
          <w:highlight w:val="white"/>
        </w:rPr>
        <w:t>)..</w:t>
      </w:r>
      <w:r w:rsidRPr="002E718B">
        <w:rPr>
          <w:rFonts w:eastAsia="Times New Roman"/>
          <w:sz w:val="28"/>
          <w:szCs w:val="28"/>
          <w:highlight w:val="white"/>
        </w:rPr>
        <w:t xml:space="preserve">. và nhu cầu về nguyên liệu sét để cung ứng cho các nhà máy của Công ty TNHH MTV Phúc Thịnh Phát Kon Tum (sản lượng thiết kế 10 triệu </w:t>
      </w:r>
      <w:r w:rsidRPr="002E718B">
        <w:rPr>
          <w:rFonts w:eastAsia="Times New Roman"/>
          <w:sz w:val="28"/>
          <w:szCs w:val="28"/>
          <w:highlight w:val="white"/>
          <w:u w:color="FF0000"/>
        </w:rPr>
        <w:t>viên/năm</w:t>
      </w:r>
      <w:r w:rsidRPr="002E718B">
        <w:rPr>
          <w:rFonts w:eastAsia="Times New Roman"/>
          <w:sz w:val="28"/>
          <w:szCs w:val="28"/>
          <w:highlight w:val="white"/>
        </w:rPr>
        <w:t xml:space="preserve">) và Công ty cổ phần đầu tư gạch Tuynel Đức Bảo (sản lượng thiết kế 20 triệu </w:t>
      </w:r>
      <w:r w:rsidRPr="002E718B">
        <w:rPr>
          <w:rFonts w:eastAsia="Times New Roman"/>
          <w:sz w:val="28"/>
          <w:szCs w:val="28"/>
          <w:highlight w:val="white"/>
          <w:u w:color="FF0000"/>
        </w:rPr>
        <w:t>viên/năm</w:t>
      </w:r>
      <w:r w:rsidRPr="002E718B">
        <w:rPr>
          <w:rFonts w:eastAsia="Times New Roman"/>
          <w:sz w:val="28"/>
          <w:szCs w:val="28"/>
          <w:highlight w:val="white"/>
        </w:rPr>
        <w:t xml:space="preserve">) .... </w:t>
      </w:r>
    </w:p>
    <w:p w:rsidR="00C17950" w:rsidRPr="002E718B" w:rsidRDefault="00C17950" w:rsidP="00C17950">
      <w:pPr>
        <w:spacing w:before="0" w:after="80" w:line="240" w:lineRule="auto"/>
        <w:ind w:firstLine="567"/>
        <w:jc w:val="both"/>
        <w:rPr>
          <w:sz w:val="28"/>
          <w:szCs w:val="28"/>
          <w:highlight w:val="white"/>
        </w:rPr>
      </w:pPr>
      <w:r w:rsidRPr="002E718B">
        <w:rPr>
          <w:sz w:val="28"/>
          <w:szCs w:val="28"/>
          <w:highlight w:val="white"/>
        </w:rPr>
        <w:t xml:space="preserve">Việc đưa vào vận hành Tổ máy số 01 của Thủy điện Thượng Kon Tum; nhà máy chế biến tinh bột sắn xã Đăk Ruồng, huyện Kon Rẫy; nhà máy chế biến tinh bột sắn và cồn </w:t>
      </w:r>
      <w:r w:rsidRPr="002E718B">
        <w:rPr>
          <w:sz w:val="28"/>
          <w:szCs w:val="28"/>
          <w:highlight w:val="white"/>
          <w:u w:color="FF0000"/>
        </w:rPr>
        <w:t>ethanol</w:t>
      </w:r>
      <w:r w:rsidRPr="002E718B">
        <w:rPr>
          <w:sz w:val="28"/>
          <w:szCs w:val="28"/>
          <w:highlight w:val="white"/>
        </w:rPr>
        <w:t xml:space="preserve"> của Công ty TNHH MTV Đầu tư Phát triển nông nghiệp Ia H’Drai Kon Tum; các dự án thủy điện vừa và nhỏ: Thủy điện Đăk Pru 1; Đăk Lô 2; Đăk Psi 1; Plei Kần,.. làm cho giá trị sản xuất của ngành Công nghiệp tăng cao so với năm 2018 và những năm trước.</w:t>
      </w:r>
    </w:p>
    <w:p w:rsidR="00C17950" w:rsidRPr="002E718B" w:rsidRDefault="00C17950" w:rsidP="00C17950">
      <w:pPr>
        <w:spacing w:before="0" w:after="80" w:line="240" w:lineRule="auto"/>
        <w:ind w:firstLine="567"/>
        <w:jc w:val="both"/>
        <w:rPr>
          <w:i/>
          <w:sz w:val="28"/>
          <w:szCs w:val="28"/>
          <w:highlight w:val="white"/>
        </w:rPr>
      </w:pPr>
      <w:r w:rsidRPr="002E718B">
        <w:rPr>
          <w:i/>
          <w:sz w:val="28"/>
          <w:szCs w:val="28"/>
          <w:highlight w:val="white"/>
        </w:rPr>
        <w:t>2.2. Lĩnh vực Xây dựng</w:t>
      </w:r>
    </w:p>
    <w:p w:rsidR="00C17950" w:rsidRPr="002E718B" w:rsidRDefault="00C17950" w:rsidP="00C17950">
      <w:pPr>
        <w:spacing w:before="0" w:after="80" w:line="240" w:lineRule="auto"/>
        <w:ind w:firstLine="567"/>
        <w:jc w:val="both"/>
        <w:rPr>
          <w:i/>
          <w:sz w:val="28"/>
          <w:szCs w:val="28"/>
          <w:highlight w:val="white"/>
        </w:rPr>
      </w:pPr>
      <w:r w:rsidRPr="002E718B">
        <w:rPr>
          <w:sz w:val="28"/>
          <w:szCs w:val="28"/>
          <w:highlight w:val="white"/>
        </w:rPr>
        <w:t>Ngoài nguồn vốn thuộc kế hoạch đầu tư công trung hạn nguồn ngân sách địa phương phải thực hiện trong năm 2019 khoảng 2.590 tỷ đồng;năm 2019,  tiếp tục triển khai một số dự án lớn đầu tư từ Ngân sách Trung ương, như: Đường giao thông kết nối đường Hồ Chí Minh đi Quốc lộ 24</w:t>
      </w:r>
      <w:r w:rsidRPr="002E718B">
        <w:rPr>
          <w:rFonts w:eastAsia="Times New Roman"/>
          <w:i/>
          <w:sz w:val="28"/>
          <w:szCs w:val="28"/>
          <w:highlight w:val="white"/>
        </w:rPr>
        <w:t>(250 tỷ đồng)</w:t>
      </w:r>
      <w:r w:rsidRPr="002E718B">
        <w:rPr>
          <w:rFonts w:eastAsia="Times New Roman"/>
          <w:sz w:val="28"/>
          <w:szCs w:val="28"/>
          <w:highlight w:val="white"/>
        </w:rPr>
        <w:t xml:space="preserve">; Dự án tuyến tránh đường Hồ Chí Minh, đoạn qua thành phố Kon Tum  (Tiểu dự án 1) </w:t>
      </w:r>
      <w:r w:rsidRPr="002E718B">
        <w:rPr>
          <w:rFonts w:eastAsia="Times New Roman"/>
          <w:i/>
          <w:sz w:val="28"/>
          <w:szCs w:val="28"/>
          <w:highlight w:val="white"/>
        </w:rPr>
        <w:t>(150 tỷ đồng)</w:t>
      </w:r>
      <w:r w:rsidRPr="002E718B">
        <w:rPr>
          <w:rFonts w:eastAsia="Times New Roman"/>
          <w:sz w:val="28"/>
          <w:szCs w:val="28"/>
          <w:highlight w:val="white"/>
        </w:rPr>
        <w:t>; Dự án tuyến tránh đường Hồ Chí Minh, đoạn qua thành phố Kon Tum  (Tiểu dự án 2)</w:t>
      </w:r>
      <w:r w:rsidRPr="002E718B">
        <w:rPr>
          <w:rFonts w:eastAsia="Times New Roman"/>
          <w:i/>
          <w:sz w:val="28"/>
          <w:szCs w:val="28"/>
          <w:highlight w:val="white"/>
        </w:rPr>
        <w:t xml:space="preserve"> (300 tỷ đồng)</w:t>
      </w:r>
      <w:r w:rsidRPr="002E718B">
        <w:rPr>
          <w:rFonts w:eastAsia="Times New Roman"/>
          <w:sz w:val="28"/>
          <w:szCs w:val="28"/>
          <w:highlight w:val="white"/>
        </w:rPr>
        <w:t xml:space="preserve">;Cụm công trình thủy lợi Ia H’Drai </w:t>
      </w:r>
      <w:r w:rsidRPr="002E718B">
        <w:rPr>
          <w:rFonts w:eastAsia="Times New Roman"/>
          <w:i/>
          <w:sz w:val="28"/>
          <w:szCs w:val="28"/>
          <w:highlight w:val="white"/>
        </w:rPr>
        <w:t>(100 tỷ đồng)</w:t>
      </w:r>
      <w:r w:rsidRPr="002E718B">
        <w:rPr>
          <w:rFonts w:eastAsia="Times New Roman"/>
          <w:sz w:val="28"/>
          <w:szCs w:val="28"/>
          <w:highlight w:val="white"/>
        </w:rPr>
        <w:t xml:space="preserve">; các dự án khác </w:t>
      </w:r>
      <w:r w:rsidRPr="002E718B">
        <w:rPr>
          <w:rFonts w:eastAsia="Times New Roman"/>
          <w:i/>
          <w:sz w:val="28"/>
          <w:szCs w:val="28"/>
          <w:highlight w:val="white"/>
        </w:rPr>
        <w:t>(khoảng100 tỷ đồng).</w:t>
      </w:r>
    </w:p>
    <w:p w:rsidR="00C17950" w:rsidRPr="002E718B" w:rsidRDefault="00C17950" w:rsidP="00C17950">
      <w:pPr>
        <w:spacing w:before="0" w:after="80" w:line="240" w:lineRule="auto"/>
        <w:ind w:firstLine="567"/>
        <w:jc w:val="both"/>
        <w:rPr>
          <w:i/>
          <w:sz w:val="28"/>
          <w:szCs w:val="28"/>
          <w:highlight w:val="white"/>
        </w:rPr>
      </w:pPr>
      <w:r w:rsidRPr="002E718B">
        <w:rPr>
          <w:spacing w:val="-2"/>
          <w:sz w:val="28"/>
          <w:szCs w:val="28"/>
          <w:highlight w:val="white"/>
        </w:rPr>
        <w:t xml:space="preserve">Bên cạnh đó, tiếp tục thực hiện </w:t>
      </w:r>
      <w:r w:rsidRPr="002E718B">
        <w:rPr>
          <w:sz w:val="28"/>
          <w:szCs w:val="28"/>
          <w:highlight w:val="white"/>
        </w:rPr>
        <w:t>một số dự án đầu tư lớn đã kêu gọi, thu hút được trong các năm trước và năm 2019, như: Các dự án phát triển nông nghiệp ứng dụng công nghệ cao (</w:t>
      </w:r>
      <w:r w:rsidRPr="002E718B">
        <w:rPr>
          <w:i/>
          <w:sz w:val="28"/>
          <w:szCs w:val="28"/>
          <w:highlight w:val="white"/>
        </w:rPr>
        <w:t xml:space="preserve">Dự án nông nghiệp và phát triển nguyên liệu nông sản </w:t>
      </w:r>
      <w:r w:rsidRPr="002E718B">
        <w:rPr>
          <w:i/>
          <w:sz w:val="28"/>
          <w:szCs w:val="28"/>
          <w:highlight w:val="white"/>
          <w:u w:color="FF0000"/>
        </w:rPr>
        <w:t>kỷ thuật cao</w:t>
      </w:r>
      <w:r w:rsidRPr="002E718B">
        <w:rPr>
          <w:i/>
          <w:sz w:val="28"/>
          <w:szCs w:val="28"/>
          <w:highlight w:val="white"/>
        </w:rPr>
        <w:t xml:space="preserve"> xuất khẩu;Dự án trồng các loại  rau sạch, cây ăn trái và cây dược liệu, </w:t>
      </w:r>
      <w:r w:rsidRPr="002E718B">
        <w:rPr>
          <w:sz w:val="28"/>
          <w:szCs w:val="28"/>
          <w:highlight w:val="white"/>
        </w:rPr>
        <w:t xml:space="preserve">…); </w:t>
      </w:r>
      <w:r w:rsidRPr="002E718B">
        <w:rPr>
          <w:bCs/>
          <w:iCs/>
          <w:sz w:val="28"/>
          <w:szCs w:val="28"/>
          <w:highlight w:val="white"/>
        </w:rPr>
        <w:t>Dự án Tổ hợp Trung tâm thương mại kết hợp nhà ở thương mại (</w:t>
      </w:r>
      <w:r w:rsidRPr="002E718B">
        <w:rPr>
          <w:bCs/>
          <w:iCs/>
          <w:sz w:val="28"/>
          <w:szCs w:val="28"/>
          <w:highlight w:val="white"/>
          <w:u w:color="FF0000"/>
        </w:rPr>
        <w:t>shophouse</w:t>
      </w:r>
      <w:r w:rsidRPr="002E718B">
        <w:rPr>
          <w:bCs/>
          <w:iCs/>
          <w:sz w:val="28"/>
          <w:szCs w:val="28"/>
          <w:highlight w:val="white"/>
        </w:rPr>
        <w:t xml:space="preserve">) với </w:t>
      </w:r>
      <w:r w:rsidRPr="002E718B">
        <w:rPr>
          <w:sz w:val="28"/>
          <w:szCs w:val="28"/>
          <w:highlight w:val="white"/>
        </w:rPr>
        <w:t>tổng mức đầu tư 298,65 tỷ đồng của Tập đoàn Vin Group dự kiến hoàn thành; triển khai Dự án Tổ hợp khách sạn, trung tâm thương mại, dịch vụ với tổng mức đầu tư 1.332 tỷ đồng của Tập đoàn FLC;... cũng đã góp phần thúc đẩy ngành xây dựng của tỉnh tăng trưởng cao so với năm 2018.</w:t>
      </w:r>
    </w:p>
    <w:p w:rsidR="00C17950" w:rsidRPr="002E718B" w:rsidRDefault="00C17950" w:rsidP="00C17950">
      <w:pPr>
        <w:widowControl w:val="0"/>
        <w:spacing w:before="0" w:after="80" w:line="240" w:lineRule="auto"/>
        <w:ind w:firstLine="567"/>
        <w:jc w:val="both"/>
        <w:rPr>
          <w:b/>
          <w:sz w:val="28"/>
          <w:szCs w:val="28"/>
          <w:highlight w:val="white"/>
        </w:rPr>
      </w:pPr>
      <w:r w:rsidRPr="002E718B">
        <w:rPr>
          <w:b/>
          <w:sz w:val="28"/>
          <w:szCs w:val="28"/>
          <w:highlight w:val="white"/>
        </w:rPr>
        <w:t>3. Khu vực thương mại, dịch vụ:</w:t>
      </w:r>
    </w:p>
    <w:p w:rsidR="00C17950" w:rsidRPr="002E718B" w:rsidRDefault="00C17950" w:rsidP="00C17950">
      <w:pPr>
        <w:widowControl w:val="0"/>
        <w:spacing w:before="0" w:after="80" w:line="240" w:lineRule="auto"/>
        <w:ind w:firstLine="567"/>
        <w:jc w:val="both"/>
        <w:rPr>
          <w:sz w:val="28"/>
          <w:szCs w:val="28"/>
          <w:highlight w:val="white"/>
        </w:rPr>
      </w:pPr>
      <w:r w:rsidRPr="002E718B">
        <w:rPr>
          <w:bCs/>
          <w:sz w:val="28"/>
          <w:szCs w:val="28"/>
          <w:highlight w:val="white"/>
        </w:rPr>
        <w:t>Tổng mức bán lẻ hàng hóa, doanh thu dịch vụ năm 2019 tăng cao so với cùng kỳ (</w:t>
      </w:r>
      <w:r w:rsidRPr="002E718B">
        <w:rPr>
          <w:bCs/>
          <w:i/>
          <w:sz w:val="28"/>
          <w:szCs w:val="28"/>
          <w:highlight w:val="white"/>
        </w:rPr>
        <w:t>ước đạt 19.167 tỷ đồng, tăng 28,4%</w:t>
      </w:r>
      <w:r w:rsidRPr="002E718B">
        <w:rPr>
          <w:bCs/>
          <w:sz w:val="28"/>
          <w:szCs w:val="28"/>
          <w:highlight w:val="white"/>
        </w:rPr>
        <w:t xml:space="preserve">) </w:t>
      </w:r>
      <w:r w:rsidRPr="002E718B">
        <w:rPr>
          <w:sz w:val="28"/>
          <w:szCs w:val="28"/>
          <w:highlight w:val="white"/>
        </w:rPr>
        <w:t xml:space="preserve"> nhờ sức mua tăng dần qua từng năm, giá cả được giữ vững, hiện tượng tăng giá đột biến, hiện tượng găm hàng </w:t>
      </w:r>
      <w:r w:rsidRPr="002E718B">
        <w:rPr>
          <w:sz w:val="28"/>
          <w:szCs w:val="28"/>
          <w:highlight w:val="white"/>
        </w:rPr>
        <w:lastRenderedPageBreak/>
        <w:t>để thao túng thị trường không xảy ra; việc nhiều doanh nghiệp kinh doanh thương mại áp dụng hình thức giảm giá, triển khai các chương trình khuyến mại đối với một số mặt hàng và t</w:t>
      </w:r>
      <w:r w:rsidRPr="002E718B">
        <w:rPr>
          <w:sz w:val="28"/>
          <w:szCs w:val="28"/>
          <w:highlight w:val="white"/>
          <w:shd w:val="clear" w:color="auto" w:fill="FFFFFF"/>
        </w:rPr>
        <w:t>riển khai thực hiện Chương trình bình ổn thị trường trước, trong và sau Tết Nguyên đán Kỷ Hợi 2019</w:t>
      </w:r>
      <w:r w:rsidRPr="002E718B">
        <w:rPr>
          <w:sz w:val="28"/>
          <w:szCs w:val="28"/>
          <w:highlight w:val="white"/>
        </w:rPr>
        <w:t xml:space="preserve">đã góp phần kích thích tiêu dùng của người dân; Các khu vực Nông, lâm nghiệp và thủy sản, Công nghiệp, Xây dựng tiếp tục tăng trưởng giúp tăng là khả năng mua sắm hàng hóa, dịch vụ của dân cư. </w:t>
      </w:r>
    </w:p>
    <w:p w:rsidR="00C17950" w:rsidRPr="002E718B" w:rsidRDefault="00C17950" w:rsidP="00C17950">
      <w:pPr>
        <w:widowControl w:val="0"/>
        <w:spacing w:before="0" w:after="80" w:line="240" w:lineRule="auto"/>
        <w:ind w:firstLine="567"/>
        <w:jc w:val="both"/>
        <w:rPr>
          <w:sz w:val="28"/>
          <w:szCs w:val="28"/>
          <w:highlight w:val="white"/>
        </w:rPr>
      </w:pPr>
      <w:r w:rsidRPr="002E718B">
        <w:rPr>
          <w:sz w:val="28"/>
          <w:szCs w:val="28"/>
          <w:highlight w:val="white"/>
        </w:rPr>
        <w:t>Việc các tập đoàn kinh tế lớn như VinGroup, FLC,… liên tiếp đầu tư các dự án lớn trên địa bàn tỉnh, trong đó có các dự án về phát triển đô thị, nhà ở đã góp phần thúc đẩy thị trường bất động sản của tỉnh trong năm qua trở nên rất sôi động; thị trường tài chính, ngân hàng cũng tăng trưởng khá; lượng khách du lịch đến tỉnh năm 2019 tăng so với cùng kỳ năm 2018 góp phần thúc đẩy doanh thu ngành du lịch và các dịch vụ liên quan như vận tải, kho bãi, ăn uống;…/.</w:t>
      </w:r>
    </w:p>
    <w:p w:rsidR="00C17950" w:rsidRPr="002E718B" w:rsidRDefault="00C17950" w:rsidP="00C17950">
      <w:pPr>
        <w:tabs>
          <w:tab w:val="left" w:pos="7039"/>
        </w:tabs>
        <w:spacing w:before="0" w:after="80" w:line="240" w:lineRule="auto"/>
        <w:jc w:val="center"/>
        <w:rPr>
          <w:rFonts w:eastAsia="Times New Roman"/>
          <w:sz w:val="28"/>
          <w:szCs w:val="28"/>
          <w:highlight w:val="white"/>
        </w:rPr>
      </w:pPr>
      <w:r w:rsidRPr="002E718B">
        <w:rPr>
          <w:rFonts w:eastAsia="Times New Roman"/>
          <w:sz w:val="28"/>
          <w:szCs w:val="28"/>
          <w:highlight w:val="white"/>
        </w:rPr>
        <w:t>(</w:t>
      </w:r>
      <w:r w:rsidRPr="002E718B">
        <w:rPr>
          <w:rFonts w:eastAsia="Times New Roman"/>
          <w:i/>
          <w:sz w:val="28"/>
          <w:szCs w:val="28"/>
          <w:highlight w:val="white"/>
        </w:rPr>
        <w:t>Có các biểu số liệu thuyết minh kèm theo</w:t>
      </w:r>
      <w:r w:rsidRPr="002E718B">
        <w:rPr>
          <w:rFonts w:eastAsia="Times New Roman"/>
          <w:sz w:val="28"/>
          <w:szCs w:val="28"/>
          <w:highlight w:val="white"/>
        </w:rPr>
        <w:t>)</w:t>
      </w:r>
    </w:p>
    <w:p w:rsidR="00C17950" w:rsidRPr="002E718B" w:rsidRDefault="002D2366" w:rsidP="00C17950">
      <w:pPr>
        <w:tabs>
          <w:tab w:val="left" w:pos="7039"/>
        </w:tabs>
        <w:jc w:val="center"/>
        <w:rPr>
          <w:rFonts w:eastAsia="Times New Roman"/>
          <w:szCs w:val="28"/>
          <w:highlight w:val="white"/>
        </w:rPr>
      </w:pPr>
      <w:r w:rsidRPr="002D2366">
        <w:rPr>
          <w:noProof/>
          <w:highlight w:val="white"/>
        </w:rPr>
        <w:pict>
          <v:line id="Straight Connector 3" o:spid="_x0000_s1027" style="position:absolute;left:0;text-align:left;z-index:251658240;visibility:visible;mso-wrap-distance-top:-3e-5mm;mso-wrap-distance-bottom:-3e-5mm" from="125.1pt,3pt" to="32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" strokecolor="windowText" strokeweight=".5pt">
            <v:stroke joinstyle="miter"/>
            <o:lock v:ext="edit" shapetype="f"/>
          </v:line>
        </w:pict>
      </w:r>
    </w:p>
    <w:p w:rsidR="00C17950" w:rsidRPr="002E718B" w:rsidRDefault="00C17950" w:rsidP="00C17950">
      <w:pPr>
        <w:spacing w:before="0" w:after="0" w:line="240" w:lineRule="auto"/>
        <w:jc w:val="center"/>
        <w:rPr>
          <w:spacing w:val="2"/>
          <w:sz w:val="28"/>
          <w:szCs w:val="28"/>
          <w:highlight w:val="white"/>
          <w:lang w:val="nl-NL"/>
        </w:rPr>
      </w:pPr>
    </w:p>
    <w:p w:rsidR="00B83145" w:rsidRDefault="00B83145">
      <w:bookmarkStart w:id="0" w:name="_GoBack"/>
      <w:bookmarkEnd w:id="0"/>
    </w:p>
    <w:sectPr w:rsidR="00B83145" w:rsidSect="009641ED">
      <w:footerReference w:type="even" r:id="rId6"/>
      <w:footerReference w:type="default" r:id="rId7"/>
      <w:pgSz w:w="11907" w:h="16840" w:code="9"/>
      <w:pgMar w:top="1134" w:right="1134" w:bottom="1134" w:left="1701" w:header="567"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DE8" w:rsidRDefault="00780DE8" w:rsidP="002D2366">
      <w:pPr>
        <w:spacing w:before="0" w:after="0" w:line="240" w:lineRule="auto"/>
      </w:pPr>
      <w:r>
        <w:separator/>
      </w:r>
    </w:p>
  </w:endnote>
  <w:endnote w:type="continuationSeparator" w:id="1">
    <w:p w:rsidR="00780DE8" w:rsidRDefault="00780DE8" w:rsidP="002D236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F0" w:rsidRDefault="002D2366">
    <w:pPr>
      <w:pStyle w:val="Footer"/>
      <w:framePr w:wrap="around" w:vAnchor="text" w:hAnchor="margin" w:xAlign="right" w:y="1"/>
      <w:rPr>
        <w:rStyle w:val="PageNumber"/>
      </w:rPr>
    </w:pPr>
    <w:r>
      <w:rPr>
        <w:rStyle w:val="PageNumber"/>
      </w:rPr>
      <w:fldChar w:fldCharType="begin"/>
    </w:r>
    <w:r w:rsidR="009641ED">
      <w:rPr>
        <w:rStyle w:val="PageNumber"/>
      </w:rPr>
      <w:instrText xml:space="preserve">PAGE  </w:instrText>
    </w:r>
    <w:r>
      <w:rPr>
        <w:rStyle w:val="PageNumber"/>
      </w:rPr>
      <w:fldChar w:fldCharType="end"/>
    </w:r>
  </w:p>
  <w:p w:rsidR="00B81BF0" w:rsidRDefault="00780D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F0" w:rsidRDefault="002D2366">
    <w:pPr>
      <w:pStyle w:val="Footer"/>
      <w:framePr w:wrap="around" w:vAnchor="text" w:hAnchor="margin" w:xAlign="right" w:y="1"/>
      <w:rPr>
        <w:rStyle w:val="PageNumber"/>
      </w:rPr>
    </w:pPr>
    <w:r>
      <w:rPr>
        <w:rStyle w:val="PageNumber"/>
      </w:rPr>
      <w:fldChar w:fldCharType="begin"/>
    </w:r>
    <w:r w:rsidR="009641ED">
      <w:rPr>
        <w:rStyle w:val="PageNumber"/>
      </w:rPr>
      <w:instrText xml:space="preserve">PAGE  </w:instrText>
    </w:r>
    <w:r>
      <w:rPr>
        <w:rStyle w:val="PageNumber"/>
      </w:rPr>
      <w:fldChar w:fldCharType="separate"/>
    </w:r>
    <w:r w:rsidR="00AC4828">
      <w:rPr>
        <w:rStyle w:val="PageNumber"/>
        <w:noProof/>
      </w:rPr>
      <w:t>3</w:t>
    </w:r>
    <w:r>
      <w:rPr>
        <w:rStyle w:val="PageNumber"/>
      </w:rPr>
      <w:fldChar w:fldCharType="end"/>
    </w:r>
  </w:p>
  <w:p w:rsidR="00B81BF0" w:rsidRPr="006A758B" w:rsidRDefault="00780DE8">
    <w:pPr>
      <w:pStyle w:val="Footer"/>
      <w:ind w:right="360"/>
      <w:jc w:val="center"/>
      <w:rPr>
        <w:sz w:val="28"/>
        <w:szCs w:val="28"/>
      </w:rPr>
    </w:pPr>
  </w:p>
  <w:p w:rsidR="00B81BF0" w:rsidRDefault="00780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DE8" w:rsidRDefault="00780DE8" w:rsidP="002D2366">
      <w:pPr>
        <w:spacing w:before="0" w:after="0" w:line="240" w:lineRule="auto"/>
      </w:pPr>
      <w:r>
        <w:separator/>
      </w:r>
    </w:p>
  </w:footnote>
  <w:footnote w:type="continuationSeparator" w:id="1">
    <w:p w:rsidR="00780DE8" w:rsidRDefault="00780DE8" w:rsidP="002D2366">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C797A"/>
    <w:rsid w:val="002D2366"/>
    <w:rsid w:val="004C797A"/>
    <w:rsid w:val="00780DE8"/>
    <w:rsid w:val="009641ED"/>
    <w:rsid w:val="00AC4828"/>
    <w:rsid w:val="00B83145"/>
    <w:rsid w:val="00C17950"/>
    <w:rsid w:val="00C467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50"/>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17950"/>
    <w:pPr>
      <w:tabs>
        <w:tab w:val="center" w:pos="4680"/>
        <w:tab w:val="right" w:pos="9360"/>
      </w:tabs>
    </w:pPr>
  </w:style>
  <w:style w:type="character" w:customStyle="1" w:styleId="FooterChar">
    <w:name w:val="Footer Char"/>
    <w:basedOn w:val="DefaultParagraphFont"/>
    <w:link w:val="Footer"/>
    <w:rsid w:val="00C17950"/>
    <w:rPr>
      <w:rFonts w:eastAsia="Calibri" w:cs="Times New Roman"/>
      <w:sz w:val="26"/>
    </w:rPr>
  </w:style>
  <w:style w:type="character" w:styleId="PageNumber">
    <w:name w:val="page number"/>
    <w:basedOn w:val="DefaultParagraphFont"/>
    <w:rsid w:val="00C17950"/>
  </w:style>
  <w:style w:type="paragraph" w:styleId="BodyText2">
    <w:name w:val="Body Text 2"/>
    <w:basedOn w:val="Normal"/>
    <w:link w:val="BodyText2Char"/>
    <w:rsid w:val="00C17950"/>
    <w:pPr>
      <w:spacing w:after="120" w:line="480" w:lineRule="auto"/>
    </w:pPr>
  </w:style>
  <w:style w:type="character" w:customStyle="1" w:styleId="BodyText2Char">
    <w:name w:val="Body Text 2 Char"/>
    <w:basedOn w:val="DefaultParagraphFont"/>
    <w:link w:val="BodyText2"/>
    <w:rsid w:val="00C17950"/>
    <w:rPr>
      <w:rFonts w:eastAsia="Calibri" w:cs="Times New Roman"/>
      <w:sz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5647</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tephanno</dc:creator>
  <cp:keywords/>
  <dc:description/>
  <cp:lastModifiedBy>admin</cp:lastModifiedBy>
  <cp:revision>4</cp:revision>
  <dcterms:created xsi:type="dcterms:W3CDTF">2019-12-03T10:33:00Z</dcterms:created>
  <dcterms:modified xsi:type="dcterms:W3CDTF">2019-12-03T10:59:00Z</dcterms:modified>
</cp:coreProperties>
</file>