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119"/>
        <w:gridCol w:w="5953"/>
      </w:tblGrid>
      <w:tr w:rsidR="001E4872" w:rsidRPr="0033091A" w:rsidTr="00CC68D8">
        <w:trPr>
          <w:trHeight w:val="579"/>
        </w:trPr>
        <w:tc>
          <w:tcPr>
            <w:tcW w:w="3119" w:type="dxa"/>
          </w:tcPr>
          <w:p w:rsidR="001E4872" w:rsidRPr="0033091A" w:rsidRDefault="001E4872" w:rsidP="001E4872">
            <w:pPr>
              <w:widowControl w:val="0"/>
              <w:tabs>
                <w:tab w:val="center" w:pos="1560"/>
                <w:tab w:val="center" w:pos="6379"/>
              </w:tabs>
              <w:spacing w:before="0" w:after="0"/>
              <w:ind w:firstLine="0"/>
              <w:jc w:val="center"/>
              <w:rPr>
                <w:b/>
                <w:sz w:val="26"/>
                <w:szCs w:val="26"/>
              </w:rPr>
            </w:pPr>
            <w:bookmarkStart w:id="0" w:name="_GoBack"/>
            <w:bookmarkEnd w:id="0"/>
            <w:r w:rsidRPr="0033091A">
              <w:rPr>
                <w:b/>
                <w:sz w:val="26"/>
                <w:szCs w:val="26"/>
              </w:rPr>
              <w:t>ỦY BAN NHÂN DÂN</w:t>
            </w:r>
          </w:p>
          <w:p w:rsidR="001E4872" w:rsidRPr="0033091A" w:rsidRDefault="00BB28B5" w:rsidP="001E4872">
            <w:pPr>
              <w:widowControl w:val="0"/>
              <w:tabs>
                <w:tab w:val="center" w:pos="1560"/>
                <w:tab w:val="center" w:pos="6379"/>
              </w:tabs>
              <w:spacing w:before="0" w:after="0"/>
              <w:ind w:firstLine="0"/>
              <w:jc w:val="center"/>
              <w:rPr>
                <w:szCs w:val="28"/>
              </w:rPr>
            </w:pPr>
            <w:r>
              <w:rPr>
                <w:noProof/>
                <w:sz w:val="26"/>
                <w:szCs w:val="26"/>
                <w:lang w:val="vi-VN" w:eastAsia="vi-VN"/>
              </w:rPr>
              <mc:AlternateContent>
                <mc:Choice Requires="wps">
                  <w:drawing>
                    <wp:anchor distT="4294967295" distB="4294967295" distL="114300" distR="114300" simplePos="0" relativeHeight="251658240" behindDoc="0" locked="0" layoutInCell="1" allowOverlap="1">
                      <wp:simplePos x="0" y="0"/>
                      <wp:positionH relativeFrom="column">
                        <wp:posOffset>574675</wp:posOffset>
                      </wp:positionH>
                      <wp:positionV relativeFrom="paragraph">
                        <wp:posOffset>204469</wp:posOffset>
                      </wp:positionV>
                      <wp:extent cx="6381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25pt,16.1pt" to="95.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aEHAIAADU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"/>
                  </w:pict>
                </mc:Fallback>
              </mc:AlternateContent>
            </w:r>
            <w:r w:rsidR="001E4872" w:rsidRPr="0033091A">
              <w:rPr>
                <w:b/>
                <w:sz w:val="26"/>
                <w:szCs w:val="26"/>
              </w:rPr>
              <w:t>TỈNH KON TUM</w:t>
            </w:r>
          </w:p>
        </w:tc>
        <w:tc>
          <w:tcPr>
            <w:tcW w:w="5953" w:type="dxa"/>
          </w:tcPr>
          <w:p w:rsidR="001E4872" w:rsidRPr="0033091A" w:rsidRDefault="001E4872" w:rsidP="001E4872">
            <w:pPr>
              <w:widowControl w:val="0"/>
              <w:tabs>
                <w:tab w:val="center" w:pos="6379"/>
              </w:tabs>
              <w:spacing w:before="0" w:after="0"/>
              <w:ind w:firstLine="0"/>
              <w:jc w:val="center"/>
              <w:rPr>
                <w:b/>
                <w:sz w:val="26"/>
                <w:szCs w:val="26"/>
              </w:rPr>
            </w:pPr>
            <w:r w:rsidRPr="0033091A">
              <w:rPr>
                <w:b/>
                <w:sz w:val="26"/>
                <w:szCs w:val="26"/>
              </w:rPr>
              <w:t>CỘNG HÒA XÃ HỘI CHỦ NGHĨA VIỆT NAM</w:t>
            </w:r>
          </w:p>
          <w:p w:rsidR="001E4872" w:rsidRPr="0033091A" w:rsidRDefault="001E4872" w:rsidP="001E4872">
            <w:pPr>
              <w:widowControl w:val="0"/>
              <w:tabs>
                <w:tab w:val="center" w:pos="6379"/>
              </w:tabs>
              <w:spacing w:before="0" w:after="0"/>
              <w:ind w:firstLine="0"/>
              <w:jc w:val="center"/>
              <w:rPr>
                <w:b/>
                <w:szCs w:val="28"/>
              </w:rPr>
            </w:pPr>
            <w:r w:rsidRPr="0033091A">
              <w:rPr>
                <w:b/>
                <w:szCs w:val="28"/>
              </w:rPr>
              <w:t>Độc lập - Tự do - Hạnh phúc</w:t>
            </w:r>
          </w:p>
        </w:tc>
      </w:tr>
      <w:tr w:rsidR="001E4872" w:rsidRPr="0033091A" w:rsidTr="00CC68D8">
        <w:trPr>
          <w:trHeight w:val="405"/>
        </w:trPr>
        <w:tc>
          <w:tcPr>
            <w:tcW w:w="3119" w:type="dxa"/>
          </w:tcPr>
          <w:p w:rsidR="001E4872" w:rsidRPr="0033091A" w:rsidRDefault="001E4872" w:rsidP="001E4872">
            <w:pPr>
              <w:widowControl w:val="0"/>
              <w:tabs>
                <w:tab w:val="center" w:pos="1560"/>
                <w:tab w:val="center" w:pos="6379"/>
              </w:tabs>
              <w:spacing w:before="40" w:after="120"/>
              <w:ind w:firstLine="0"/>
              <w:rPr>
                <w:sz w:val="26"/>
                <w:szCs w:val="26"/>
              </w:rPr>
            </w:pPr>
          </w:p>
        </w:tc>
        <w:tc>
          <w:tcPr>
            <w:tcW w:w="5953" w:type="dxa"/>
          </w:tcPr>
          <w:p w:rsidR="001E4872" w:rsidRPr="0033091A" w:rsidRDefault="00BB28B5" w:rsidP="001E4872">
            <w:pPr>
              <w:pStyle w:val="Heading1"/>
              <w:spacing w:before="40" w:after="120"/>
              <w:rPr>
                <w:rFonts w:ascii="Times New Roman" w:hAnsi="Times New Roman"/>
                <w:b w:val="0"/>
                <w:i/>
                <w:color w:val="auto"/>
                <w:spacing w:val="0"/>
                <w:sz w:val="26"/>
                <w:szCs w:val="26"/>
              </w:rPr>
            </w:pPr>
            <w:r>
              <w:rPr>
                <w:rFonts w:ascii="Times New Roman" w:hAnsi="Times New Roman"/>
                <w:i/>
                <w:noProof/>
                <w:color w:val="auto"/>
                <w:spacing w:val="0"/>
                <w:sz w:val="26"/>
                <w:szCs w:val="26"/>
                <w:lang w:val="vi-VN" w:eastAsia="vi-VN"/>
              </w:rPr>
              <mc:AlternateContent>
                <mc:Choice Requires="wps">
                  <w:drawing>
                    <wp:anchor distT="4294967295" distB="4294967295" distL="114300" distR="114300" simplePos="0" relativeHeight="251656192" behindDoc="0" locked="0" layoutInCell="1" allowOverlap="1">
                      <wp:simplePos x="0" y="0"/>
                      <wp:positionH relativeFrom="column">
                        <wp:posOffset>796290</wp:posOffset>
                      </wp:positionH>
                      <wp:positionV relativeFrom="paragraph">
                        <wp:posOffset>14604</wp:posOffset>
                      </wp:positionV>
                      <wp:extent cx="2066290" cy="0"/>
                      <wp:effectExtent l="0" t="0" r="101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7pt,1.15pt" to="225.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Sw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"/>
                  </w:pict>
                </mc:Fallback>
              </mc:AlternateContent>
            </w:r>
          </w:p>
        </w:tc>
      </w:tr>
    </w:tbl>
    <w:p w:rsidR="00066466" w:rsidRDefault="00066466" w:rsidP="00B57C55">
      <w:pPr>
        <w:spacing w:before="0"/>
        <w:ind w:firstLine="0"/>
        <w:jc w:val="center"/>
        <w:rPr>
          <w:b/>
        </w:rPr>
      </w:pPr>
    </w:p>
    <w:p w:rsidR="00C52445" w:rsidRPr="00B57C55" w:rsidRDefault="00C52445" w:rsidP="00B57C55">
      <w:pPr>
        <w:spacing w:before="0"/>
        <w:ind w:firstLine="0"/>
        <w:jc w:val="center"/>
        <w:rPr>
          <w:b/>
        </w:rPr>
      </w:pPr>
      <w:r w:rsidRPr="00B57C55">
        <w:rPr>
          <w:b/>
        </w:rPr>
        <w:t>THUYẾ</w:t>
      </w:r>
      <w:r w:rsidR="00B57C55" w:rsidRPr="00B57C55">
        <w:rPr>
          <w:b/>
        </w:rPr>
        <w:t>T MINH</w:t>
      </w:r>
    </w:p>
    <w:p w:rsidR="00C52445" w:rsidRPr="00B57C55" w:rsidRDefault="00B57C55" w:rsidP="00B57C55">
      <w:pPr>
        <w:spacing w:before="0"/>
        <w:ind w:firstLine="0"/>
        <w:jc w:val="center"/>
        <w:rPr>
          <w:b/>
          <w:szCs w:val="28"/>
        </w:rPr>
      </w:pPr>
      <w:r w:rsidRPr="00B57C55">
        <w:rPr>
          <w:b/>
          <w:szCs w:val="28"/>
        </w:rPr>
        <w:t>Đề án c</w:t>
      </w:r>
      <w:r w:rsidR="00C52445" w:rsidRPr="00B57C55">
        <w:rPr>
          <w:b/>
          <w:szCs w:val="28"/>
        </w:rPr>
        <w:t>ho vay tiêu dùng và mở rộng đối tượng cho vay sản xuất kinh doanh từ nguồn vốn NSĐP ủy thác sang NHCSXH tỉnh cho vay để góp phần ngăn chặn, đẩy lùi hoạt động “tín dụng đen” trên địa bàn tỉnh Kon Tum</w:t>
      </w:r>
    </w:p>
    <w:p w:rsidR="001E4872" w:rsidRPr="00B57C55" w:rsidRDefault="00BB28B5" w:rsidP="00B57C55">
      <w:pPr>
        <w:spacing w:before="0"/>
        <w:ind w:firstLine="0"/>
        <w:jc w:val="center"/>
        <w:rPr>
          <w:i/>
          <w:szCs w:val="28"/>
        </w:rPr>
      </w:pPr>
      <w:r>
        <w:rPr>
          <w:noProof/>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2251710</wp:posOffset>
                </wp:positionH>
                <wp:positionV relativeFrom="paragraph">
                  <wp:posOffset>410209</wp:posOffset>
                </wp:positionV>
                <wp:extent cx="12858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5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7.3pt,32.3pt" to="278.5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" strokecolor="black [3213]" strokeweight=".5pt">
                <v:stroke joinstyle="miter"/>
                <o:lock v:ext="edit" shapetype="f"/>
              </v:line>
            </w:pict>
          </mc:Fallback>
        </mc:AlternateContent>
      </w:r>
      <w:r w:rsidR="001E4872" w:rsidRPr="00B57C55">
        <w:rPr>
          <w:i/>
          <w:szCs w:val="28"/>
        </w:rPr>
        <w:t>(Kèm theo Tờ trình số</w:t>
      </w:r>
      <w:r w:rsidR="00B57C55">
        <w:rPr>
          <w:i/>
          <w:szCs w:val="28"/>
        </w:rPr>
        <w:t>:</w:t>
      </w:r>
      <w:r w:rsidR="001E4872" w:rsidRPr="00B57C55">
        <w:rPr>
          <w:i/>
          <w:szCs w:val="28"/>
        </w:rPr>
        <w:t xml:space="preserve"> </w:t>
      </w:r>
      <w:r w:rsidR="00233917">
        <w:rPr>
          <w:i/>
          <w:szCs w:val="28"/>
        </w:rPr>
        <w:t>153</w:t>
      </w:r>
      <w:r w:rsidR="001E4872" w:rsidRPr="00B57C55">
        <w:rPr>
          <w:i/>
          <w:szCs w:val="28"/>
        </w:rPr>
        <w:t xml:space="preserve"> /TTr-UBND ngày  </w:t>
      </w:r>
      <w:r w:rsidR="00233917">
        <w:rPr>
          <w:i/>
          <w:szCs w:val="28"/>
        </w:rPr>
        <w:t>19</w:t>
      </w:r>
      <w:r w:rsidR="001E4872" w:rsidRPr="00B57C55">
        <w:rPr>
          <w:i/>
          <w:szCs w:val="28"/>
        </w:rPr>
        <w:t xml:space="preserve"> tháng </w:t>
      </w:r>
      <w:r w:rsidR="00233917">
        <w:rPr>
          <w:i/>
          <w:szCs w:val="28"/>
        </w:rPr>
        <w:t>11</w:t>
      </w:r>
      <w:r w:rsidR="001E4872" w:rsidRPr="00B57C55">
        <w:rPr>
          <w:i/>
          <w:szCs w:val="28"/>
        </w:rPr>
        <w:t xml:space="preserve"> năm</w:t>
      </w:r>
      <w:r w:rsidR="00233917">
        <w:rPr>
          <w:i/>
          <w:szCs w:val="28"/>
        </w:rPr>
        <w:t xml:space="preserve">2019   </w:t>
      </w:r>
      <w:r w:rsidR="001E4872" w:rsidRPr="00B57C55">
        <w:rPr>
          <w:i/>
          <w:szCs w:val="28"/>
        </w:rPr>
        <w:t>của Ủy ban nhân dân tỉnh Kon Tum</w:t>
      </w:r>
      <w:r w:rsidR="00B57C55">
        <w:rPr>
          <w:i/>
          <w:szCs w:val="28"/>
        </w:rPr>
        <w:t>)</w:t>
      </w:r>
    </w:p>
    <w:p w:rsidR="00C52445" w:rsidRPr="007A4DCC" w:rsidRDefault="00C52445"/>
    <w:p w:rsidR="00C52445" w:rsidRPr="007A4DCC" w:rsidRDefault="00C52445" w:rsidP="008276C8">
      <w:pPr>
        <w:spacing w:before="0" w:after="120"/>
        <w:ind w:firstLine="624"/>
        <w:rPr>
          <w:b/>
        </w:rPr>
      </w:pPr>
      <w:r w:rsidRPr="007A4DCC">
        <w:rPr>
          <w:b/>
        </w:rPr>
        <w:t>I. THUYẾT MINH CƠ SỞ XÂY DỰNG ĐỀ</w:t>
      </w:r>
      <w:r w:rsidR="008276C8">
        <w:rPr>
          <w:b/>
        </w:rPr>
        <w:t xml:space="preserve"> ÁN</w:t>
      </w:r>
    </w:p>
    <w:p w:rsidR="000F37ED" w:rsidRDefault="00C52445" w:rsidP="008276C8">
      <w:pPr>
        <w:spacing w:before="0" w:after="120"/>
        <w:ind w:firstLine="624"/>
        <w:rPr>
          <w:b/>
        </w:rPr>
      </w:pPr>
      <w:r w:rsidRPr="007A4DCC">
        <w:rPr>
          <w:b/>
        </w:rPr>
        <w:t xml:space="preserve">1. </w:t>
      </w:r>
      <w:r w:rsidR="008276C8">
        <w:rPr>
          <w:b/>
        </w:rPr>
        <w:t>Về</w:t>
      </w:r>
      <w:r w:rsidR="00DF2884">
        <w:rPr>
          <w:b/>
        </w:rPr>
        <w:t xml:space="preserve">các </w:t>
      </w:r>
      <w:r w:rsidRPr="007A4DCC">
        <w:rPr>
          <w:b/>
        </w:rPr>
        <w:t>đối tượ</w:t>
      </w:r>
      <w:r w:rsidR="008276C8">
        <w:rPr>
          <w:b/>
        </w:rPr>
        <w:t>ng của Đề án</w:t>
      </w:r>
    </w:p>
    <w:p w:rsidR="00C52445" w:rsidRPr="007A4DCC" w:rsidRDefault="001104FB" w:rsidP="008276C8">
      <w:pPr>
        <w:spacing w:before="0" w:after="120"/>
        <w:ind w:firstLine="624"/>
        <w:rPr>
          <w:b/>
        </w:rPr>
      </w:pPr>
      <w:r w:rsidRPr="00C65248">
        <w:t xml:space="preserve">Gồm có </w:t>
      </w:r>
      <w:r w:rsidR="0037163B" w:rsidRPr="00C65248">
        <w:t>02 đối tượ</w:t>
      </w:r>
      <w:r w:rsidR="00C65248">
        <w:t>ng như sau</w:t>
      </w:r>
      <w:r w:rsidR="000F37ED">
        <w:t>:</w:t>
      </w:r>
    </w:p>
    <w:p w:rsidR="00C52445" w:rsidRPr="007A4DCC" w:rsidRDefault="00C52445" w:rsidP="008276C8">
      <w:pPr>
        <w:spacing w:before="0" w:after="120"/>
        <w:ind w:firstLine="624"/>
      </w:pPr>
      <w:r w:rsidRPr="007A4DCC">
        <w:t>- Cho vay tiêu dùng: Cá nhân hoặc hộ gia đình gặp khó khăn đột xuất về tài chính do ốm đau bệnh tật, tai nạn đột xuất, thiên tai, hỏa hoạn; nhà cửa, tài sản bị hư hỏng cần khắc phục ngay, đám cưới, mai táng có nhu cầu vay vốn cấp bách để khắc phục, ổn định cuộc sống với lý do chính đáng, hợp pháp (</w:t>
      </w:r>
      <w:r w:rsidRPr="00DF3BDB">
        <w:rPr>
          <w:i/>
        </w:rPr>
        <w:t>kể cả trường hợp đang còn dư nợ các Chương trình tín dụng chính sách tại Ngân hàng Chính sách xã hội</w:t>
      </w:r>
      <w:r w:rsidRPr="007A4DCC">
        <w:t>).</w:t>
      </w:r>
    </w:p>
    <w:p w:rsidR="00C52445" w:rsidRPr="007A4DCC" w:rsidRDefault="00C52445" w:rsidP="008276C8">
      <w:pPr>
        <w:spacing w:before="0" w:after="120"/>
        <w:ind w:firstLine="624"/>
      </w:pPr>
      <w:r w:rsidRPr="007A4DCC">
        <w:t>- Mở rộng đối tượng cho vay: Cá nhân hoặc hộ gia đình có mức sống trung bình theo quy định tại Thông tư số</w:t>
      </w:r>
      <w:r w:rsidR="00C65248">
        <w:t xml:space="preserve"> 02/2016/TT-BLĐTBXH ngày 25 tháng 3 năm </w:t>
      </w:r>
      <w:r w:rsidRPr="007A4DCC">
        <w:t>2016 của Bộ trưởng Bộ Lao động Thương binh và Xã hộ</w:t>
      </w:r>
      <w:r w:rsidR="005435FD">
        <w:t>i</w:t>
      </w:r>
      <w:r w:rsidRPr="007A4DCC">
        <w:t xml:space="preserve"> có nhu cầu vay vốn để phục vụ sản xuất kinh doanh, buôn bán nhỏ chính đáng, hợp pháp để ổn định cuộc sống nhưng không thuộc đối tượng được vay vốn các Chương trình tín dụng chính sách do </w:t>
      </w:r>
      <w:r w:rsidR="005435FD" w:rsidRPr="007A4DCC">
        <w:t>Ngân hàng Chính sách xã hội</w:t>
      </w:r>
      <w:r w:rsidRPr="007A4DCC">
        <w:t xml:space="preserve"> thực hiện hiện hành.</w:t>
      </w:r>
    </w:p>
    <w:p w:rsidR="00DF3827" w:rsidRPr="007A4DCC" w:rsidRDefault="00C52445" w:rsidP="007D0036">
      <w:pPr>
        <w:spacing w:before="0" w:after="120"/>
        <w:ind w:firstLine="624"/>
      </w:pPr>
      <w:r w:rsidRPr="007A4DCC">
        <w:t xml:space="preserve">Sau </w:t>
      </w:r>
      <w:r w:rsidR="00E1061A">
        <w:t xml:space="preserve">khi rà soát, Ủy ban nhân dân tỉnh </w:t>
      </w:r>
      <w:r w:rsidRPr="007A4DCC">
        <w:t>xác định 02 nhóm đối tượng nêu trên là đối tượng dễ bị tín dụng đen lôi kéo vay nặng lãi nhấ</w:t>
      </w:r>
      <w:r w:rsidR="00F5644E">
        <w:t>t. Lý do: C</w:t>
      </w:r>
      <w:r w:rsidRPr="007A4DCC">
        <w:t>ác mục đích sử dụng vốn của nhóm đối tượng vay tiêu dùng</w:t>
      </w:r>
      <w:r w:rsidR="00E1061A">
        <w:t xml:space="preserve"> như:Ố</w:t>
      </w:r>
      <w:r w:rsidR="003820E9" w:rsidRPr="007A4DCC">
        <w:t xml:space="preserve">m đau bệnh tật, tai nạn đột xuất, thiên tai, hỏa hoạn; nhà cửa, tài sản bị hư hỏng cần khắc phục ngay, đám cưới, mai táng </w:t>
      </w:r>
      <w:r w:rsidRPr="007A4DCC">
        <w:t xml:space="preserve">không </w:t>
      </w:r>
      <w:r w:rsidR="003820E9" w:rsidRPr="007A4DCC">
        <w:t>thuộc các chương trình cho vay của</w:t>
      </w:r>
      <w:r w:rsidR="00E1061A" w:rsidRPr="007A4DCC">
        <w:t>Ngân hàng Chính sách xã hội</w:t>
      </w:r>
      <w:r w:rsidR="00226DA5" w:rsidRPr="007A4DCC">
        <w:t xml:space="preserve"> và </w:t>
      </w:r>
      <w:r w:rsidRPr="007A4DCC">
        <w:t xml:space="preserve">các </w:t>
      </w:r>
      <w:r w:rsidR="00E1061A">
        <w:t>n</w:t>
      </w:r>
      <w:r w:rsidRPr="007A4DCC">
        <w:t>gân hàng thương mại</w:t>
      </w:r>
      <w:r w:rsidR="00E442E1">
        <w:t>.</w:t>
      </w:r>
      <w:r w:rsidR="00B539DD" w:rsidRPr="007A4DCC">
        <w:t>Người có mức sống trung bình, kinh doanh, buôn bán nhỏ thường không đạt tiêu chuẩn</w:t>
      </w:r>
      <w:r w:rsidR="000039E8" w:rsidRPr="007A4DCC">
        <w:t>, điều kiện</w:t>
      </w:r>
      <w:r w:rsidR="00B539DD" w:rsidRPr="007A4DCC">
        <w:t xml:space="preserve"> cho vay của các </w:t>
      </w:r>
      <w:r w:rsidR="00E43B56">
        <w:t>n</w:t>
      </w:r>
      <w:r w:rsidR="00B539DD" w:rsidRPr="007A4DCC">
        <w:t xml:space="preserve">gân hàng thương mại. </w:t>
      </w:r>
      <w:r w:rsidR="00D06BC9">
        <w:t xml:space="preserve">Qua </w:t>
      </w:r>
      <w:r w:rsidR="00626CCF">
        <w:t>lấy ý kiến các đơn vị liên quan</w:t>
      </w:r>
      <w:r w:rsidR="00676DEB">
        <w:rPr>
          <w:vertAlign w:val="superscript"/>
        </w:rPr>
        <w:t>(</w:t>
      </w:r>
      <w:r w:rsidR="00676DEB" w:rsidRPr="007A4DCC">
        <w:rPr>
          <w:rStyle w:val="FootnoteReference"/>
        </w:rPr>
        <w:footnoteReference w:id="1"/>
      </w:r>
      <w:r w:rsidR="00676DEB">
        <w:rPr>
          <w:vertAlign w:val="superscript"/>
        </w:rPr>
        <w:t>)</w:t>
      </w:r>
      <w:r w:rsidR="00220798">
        <w:t>,</w:t>
      </w:r>
      <w:r w:rsidR="00B539DD" w:rsidRPr="007A4DCC">
        <w:t>02 nhóm đối tượng</w:t>
      </w:r>
      <w:r w:rsidR="00F264E5">
        <w:t xml:space="preserve">trên </w:t>
      </w:r>
      <w:r w:rsidR="00D06BC9">
        <w:t>có nhu cầu vay vốn nhưnglại</w:t>
      </w:r>
      <w:r w:rsidR="00B539DD" w:rsidRPr="007A4DCC">
        <w:t xml:space="preserve">rất khó tiếp cận với các nguồn vốn </w:t>
      </w:r>
      <w:r w:rsidR="002B7235">
        <w:t xml:space="preserve">tín dụng hợp pháp, thường bị các đối tượng </w:t>
      </w:r>
      <w:r w:rsidR="00D06BC9">
        <w:t>“tín dụng đen”</w:t>
      </w:r>
      <w:r w:rsidR="00DF3827">
        <w:t xml:space="preserve"> lôi kéo</w:t>
      </w:r>
      <w:r w:rsidR="0033003E" w:rsidRPr="007A4DCC">
        <w:t>.</w:t>
      </w:r>
      <w:r w:rsidR="00DF3827">
        <w:t xml:space="preserve"> Do đó, việc </w:t>
      </w:r>
      <w:r w:rsidR="007D0036">
        <w:t>quy định các đối tượng nêu trên là phù hợ</w:t>
      </w:r>
      <w:r w:rsidR="00F50418">
        <w:t>p.</w:t>
      </w:r>
    </w:p>
    <w:p w:rsidR="00734F59" w:rsidRPr="007A4DCC" w:rsidRDefault="00734F59" w:rsidP="008276C8">
      <w:pPr>
        <w:spacing w:before="0" w:after="120"/>
        <w:ind w:firstLine="624"/>
        <w:rPr>
          <w:b/>
        </w:rPr>
      </w:pPr>
      <w:r w:rsidRPr="007A4DCC">
        <w:rPr>
          <w:b/>
        </w:rPr>
        <w:t xml:space="preserve">2. </w:t>
      </w:r>
      <w:r w:rsidR="00E06586">
        <w:rPr>
          <w:b/>
        </w:rPr>
        <w:t>Về</w:t>
      </w:r>
      <w:r w:rsidRPr="007A4DCC">
        <w:rPr>
          <w:b/>
        </w:rPr>
        <w:t xml:space="preserve"> mức cho vay</w:t>
      </w:r>
    </w:p>
    <w:p w:rsidR="00734F59" w:rsidRPr="007A4DCC" w:rsidRDefault="00E06586" w:rsidP="00A3677C">
      <w:pPr>
        <w:spacing w:before="0" w:after="120"/>
        <w:ind w:firstLine="624"/>
      </w:pPr>
      <w:r>
        <w:lastRenderedPageBreak/>
        <w:t>Mức vốn cho vay tối đa 30 triệu đồng</w:t>
      </w:r>
      <w:r w:rsidR="004065D4">
        <w:t>/hộ/cá nhân</w:t>
      </w:r>
      <w:r>
        <w:t xml:space="preserve"> được á</w:t>
      </w:r>
      <w:r w:rsidR="00734F59" w:rsidRPr="007A4DCC">
        <w:t xml:space="preserve">p dụng theo </w:t>
      </w:r>
      <w:r w:rsidR="00E149F5">
        <w:t>C</w:t>
      </w:r>
      <w:r w:rsidR="00E149F5" w:rsidRPr="007A4DCC">
        <w:t>hương trình tín dụng tiêu dùng đối với khách hàng cá nhân, hộ gia đình</w:t>
      </w:r>
      <w:r w:rsidR="00666632">
        <w:t xml:space="preserve"> tại </w:t>
      </w:r>
      <w:r w:rsidR="00734F59" w:rsidRPr="007A4DCC">
        <w:t>Văn bản số</w:t>
      </w:r>
      <w:r w:rsidR="00E15580">
        <w:t xml:space="preserve"> 287/NHNo-HSX ngày 11 tháng 01 năm </w:t>
      </w:r>
      <w:r w:rsidR="00734F59" w:rsidRPr="007A4DCC">
        <w:t>2019 của Ngân hàng Nông nghiệp và Phát triển nông thôn Việt Nam</w:t>
      </w:r>
      <w:r w:rsidR="004065D4">
        <w:t xml:space="preserve">. </w:t>
      </w:r>
      <w:r w:rsidR="00A3677C">
        <w:t xml:space="preserve">Bên cạnh đó, việc cho vay chủ yếu là </w:t>
      </w:r>
      <w:r w:rsidR="00E1766D" w:rsidRPr="007A4DCC">
        <w:t>đáp ứng cho nhu cầu cấp bách, sản xuất kinh doanh, buôn bán nhỏ nên</w:t>
      </w:r>
      <w:r w:rsidR="00676DEB">
        <w:t xml:space="preserve"> việc</w:t>
      </w:r>
      <w:r w:rsidR="00E1766D" w:rsidRPr="007A4DCC">
        <w:t xml:space="preserve"> áp dụng mức cho vay tối đa 30 triệu đồng/hộ/cá nhân</w:t>
      </w:r>
      <w:r w:rsidR="00635CA8" w:rsidRPr="007A4DCC">
        <w:t xml:space="preserve"> là phù hợp</w:t>
      </w:r>
      <w:r w:rsidR="00A3677C">
        <w:t xml:space="preserve"> với tình hình thực tế tại địa phương.</w:t>
      </w:r>
    </w:p>
    <w:p w:rsidR="002C0083" w:rsidRPr="007A4DCC" w:rsidRDefault="00734F59" w:rsidP="008276C8">
      <w:pPr>
        <w:spacing w:before="0" w:after="120"/>
        <w:ind w:firstLine="624"/>
        <w:rPr>
          <w:b/>
        </w:rPr>
      </w:pPr>
      <w:r w:rsidRPr="007A4DCC">
        <w:rPr>
          <w:b/>
        </w:rPr>
        <w:t>3</w:t>
      </w:r>
      <w:r w:rsidR="002C0083" w:rsidRPr="007A4DCC">
        <w:rPr>
          <w:b/>
        </w:rPr>
        <w:t xml:space="preserve">. </w:t>
      </w:r>
      <w:r w:rsidR="004065D4">
        <w:rPr>
          <w:b/>
        </w:rPr>
        <w:t>Về</w:t>
      </w:r>
      <w:r w:rsidR="002C0083" w:rsidRPr="007A4DCC">
        <w:rPr>
          <w:b/>
        </w:rPr>
        <w:t xml:space="preserve"> lãi suấ</w:t>
      </w:r>
      <w:r w:rsidR="008A0E92">
        <w:rPr>
          <w:b/>
        </w:rPr>
        <w:t>t cho vay 9%/năm</w:t>
      </w:r>
    </w:p>
    <w:p w:rsidR="00774A9A" w:rsidRDefault="00C418DD" w:rsidP="008276C8">
      <w:pPr>
        <w:spacing w:before="0" w:after="120"/>
        <w:ind w:firstLine="624"/>
      </w:pPr>
      <w:r>
        <w:t>L</w:t>
      </w:r>
      <w:r w:rsidRPr="00C418DD">
        <w:t>ãi suất cho vay 9%/năm</w:t>
      </w:r>
      <w:r>
        <w:t xml:space="preserve"> được áp dụng theo </w:t>
      </w:r>
      <w:r w:rsidR="001D4EDA">
        <w:t>khung</w:t>
      </w:r>
      <w:r w:rsidR="004F6618" w:rsidRPr="004F6618">
        <w:t xml:space="preserve"> mức lãi suất cho vay Chương trình hộ gia đình, kinh doanh tại vùng khó khăn theo Quyết định số</w:t>
      </w:r>
      <w:r w:rsidR="00215B90">
        <w:t xml:space="preserve"> 31/2007/QĐ-TTg ngày 05 tháng 3 năm </w:t>
      </w:r>
      <w:r w:rsidR="004F6618" w:rsidRPr="004F6618">
        <w:t>2007 của Thủ tướng Chính phủ</w:t>
      </w:r>
      <w:r w:rsidR="004F6618">
        <w:t xml:space="preserve"> tại </w:t>
      </w:r>
      <w:r w:rsidR="00A24ECD" w:rsidRPr="007A4DCC">
        <w:t>Văn bản số</w:t>
      </w:r>
      <w:r w:rsidR="008A27B8">
        <w:t xml:space="preserve"> 1569/TB-NHCS ngày 02 tháng 6 năm </w:t>
      </w:r>
      <w:r w:rsidR="00A24ECD" w:rsidRPr="007A4DCC">
        <w:t xml:space="preserve">2015 của Tổng Giám đốc </w:t>
      </w:r>
      <w:r w:rsidR="00A24ECD">
        <w:t>Ngân hàng Chính sách xã hội Việt Nam.</w:t>
      </w:r>
    </w:p>
    <w:p w:rsidR="002C0083" w:rsidRPr="007A4DCC" w:rsidRDefault="002C0083" w:rsidP="008A0E92">
      <w:pPr>
        <w:spacing w:before="0" w:after="120"/>
        <w:ind w:firstLine="624"/>
      </w:pPr>
      <w:r w:rsidRPr="007A4DCC">
        <w:t xml:space="preserve">Hiện nay, mức lãi suất thấp nhất tại </w:t>
      </w:r>
      <w:r w:rsidR="00297D30">
        <w:t>Ngân hàng Chính sách xã hội</w:t>
      </w:r>
      <w:r w:rsidRPr="007A4DCC">
        <w:t xml:space="preserve"> là 6,6%/năm </w:t>
      </w:r>
      <w:r w:rsidR="00297D30">
        <w:t xml:space="preserve">áp dụng </w:t>
      </w:r>
      <w:r w:rsidRPr="007A4DCC">
        <w:t>đối với hộ nghèo, các đối tượ</w:t>
      </w:r>
      <w:r w:rsidR="008A0E92">
        <w:t xml:space="preserve">ng khác; lãi suất cao nhất là </w:t>
      </w:r>
      <w:r w:rsidR="008A0E92" w:rsidRPr="007A4DCC">
        <w:t>9%/năm</w:t>
      </w:r>
      <w:r w:rsidRPr="007A4DCC">
        <w:t xml:space="preserve">. Qua rà soát, lựa chọn mức lãi suất 9%/năm là </w:t>
      </w:r>
      <w:r w:rsidR="00635CA8" w:rsidRPr="007A4DCC">
        <w:t xml:space="preserve">phù </w:t>
      </w:r>
      <w:r w:rsidRPr="007A4DCC">
        <w:t xml:space="preserve">hợp, đảm bảo tính công bằng giữa các đối tượng, đồng thời đảm bảo cho việc thu nợ, thu lãi và cơ chế xử lý rủi ro của </w:t>
      </w:r>
      <w:r w:rsidR="008A0E92">
        <w:t>Ngân hàng Chính sách xã hội</w:t>
      </w:r>
      <w:r w:rsidRPr="007A4DCC">
        <w:t>.</w:t>
      </w:r>
    </w:p>
    <w:p w:rsidR="002C0083" w:rsidRPr="007A4DCC" w:rsidRDefault="00734F59" w:rsidP="008276C8">
      <w:pPr>
        <w:spacing w:before="0" w:after="120"/>
        <w:ind w:firstLine="624"/>
        <w:rPr>
          <w:b/>
        </w:rPr>
      </w:pPr>
      <w:r w:rsidRPr="007A4DCC">
        <w:rPr>
          <w:b/>
        </w:rPr>
        <w:t>4</w:t>
      </w:r>
      <w:r w:rsidR="002C0083" w:rsidRPr="007A4DCC">
        <w:rPr>
          <w:b/>
        </w:rPr>
        <w:t xml:space="preserve">. </w:t>
      </w:r>
      <w:r w:rsidR="004065D4">
        <w:rPr>
          <w:b/>
        </w:rPr>
        <w:t>Về</w:t>
      </w:r>
      <w:r w:rsidR="002C0083" w:rsidRPr="007A4DCC">
        <w:rPr>
          <w:b/>
        </w:rPr>
        <w:t xml:space="preserve"> thời hạ</w:t>
      </w:r>
      <w:r w:rsidR="00E023E5">
        <w:rPr>
          <w:b/>
        </w:rPr>
        <w:t>n cho vay 01 năm</w:t>
      </w:r>
    </w:p>
    <w:p w:rsidR="002C0083" w:rsidRPr="007A4DCC" w:rsidRDefault="008A0E92" w:rsidP="007F060A">
      <w:pPr>
        <w:spacing w:before="0" w:after="120"/>
        <w:ind w:firstLine="624"/>
      </w:pPr>
      <w:r>
        <w:t>Do</w:t>
      </w:r>
      <w:r w:rsidR="002C0083" w:rsidRPr="007A4DCC">
        <w:t xml:space="preserve"> mục đích sử dụng vay vốn chủ yếu là đáp ứng cho nhu cầu cấp bách, sản xuất kinh doanh, buôn bán nhỏ nên áp dụng cho vay </w:t>
      </w:r>
      <w:r w:rsidR="005E5743" w:rsidRPr="005E5743">
        <w:t>tối đa không quá 12 tháng kể từ ngày nhận tiền vay</w:t>
      </w:r>
      <w:r w:rsidR="00AE1587">
        <w:t>(</w:t>
      </w:r>
      <w:r w:rsidR="005E5743" w:rsidRPr="0067656D">
        <w:rPr>
          <w:i/>
        </w:rPr>
        <w:t xml:space="preserve">theo </w:t>
      </w:r>
      <w:r w:rsidR="002C0083" w:rsidRPr="0067656D">
        <w:rPr>
          <w:i/>
        </w:rPr>
        <w:t>tiế</w:t>
      </w:r>
      <w:r w:rsidR="001D4EDA">
        <w:rPr>
          <w:i/>
        </w:rPr>
        <w:t>t a</w:t>
      </w:r>
      <w:r w:rsidR="002C0083" w:rsidRPr="0067656D">
        <w:rPr>
          <w:i/>
        </w:rPr>
        <w:t xml:space="preserve"> điểm 8.1 mụ</w:t>
      </w:r>
      <w:r w:rsidR="007F060A" w:rsidRPr="0067656D">
        <w:rPr>
          <w:i/>
        </w:rPr>
        <w:t>c 2 V</w:t>
      </w:r>
      <w:r w:rsidR="002C0083" w:rsidRPr="0067656D">
        <w:rPr>
          <w:i/>
        </w:rPr>
        <w:t>ăn bản số 677/NHCS-TD ngày 22</w:t>
      </w:r>
      <w:r w:rsidR="00207FCC" w:rsidRPr="0067656D">
        <w:rPr>
          <w:i/>
        </w:rPr>
        <w:t xml:space="preserve"> tháng 4 năm </w:t>
      </w:r>
      <w:r w:rsidR="002C0083" w:rsidRPr="0067656D">
        <w:rPr>
          <w:i/>
        </w:rPr>
        <w:t xml:space="preserve">2007 của Tổng Giám đốc </w:t>
      </w:r>
      <w:r w:rsidR="00742DB3" w:rsidRPr="0067656D">
        <w:rPr>
          <w:i/>
        </w:rPr>
        <w:t>Ngân hàng Chính sách xã hội</w:t>
      </w:r>
      <w:r w:rsidR="00635CA8" w:rsidRPr="0067656D">
        <w:rPr>
          <w:i/>
        </w:rPr>
        <w:t xml:space="preserve">Việt Nam </w:t>
      </w:r>
      <w:r w:rsidR="002C0083" w:rsidRPr="0067656D">
        <w:rPr>
          <w:i/>
        </w:rPr>
        <w:t>hướng dẫn thực hiện cho vay vốn theo Quyết định số</w:t>
      </w:r>
      <w:r w:rsidR="0067656D">
        <w:rPr>
          <w:i/>
        </w:rPr>
        <w:t xml:space="preserve"> 31/2007/QĐ-TTg ngày 05 tháng 3 năm </w:t>
      </w:r>
      <w:r w:rsidR="002C0083" w:rsidRPr="0067656D">
        <w:rPr>
          <w:i/>
        </w:rPr>
        <w:t>2007 của Thủ tướng</w:t>
      </w:r>
      <w:r w:rsidR="002C0083" w:rsidRPr="007A4DCC">
        <w:rPr>
          <w:i/>
        </w:rPr>
        <w:t xml:space="preserve"> Chính phủ về tín dụng đối với hộ gia đình sản xuất, kinh doanh tại vùng khó khăn</w:t>
      </w:r>
      <w:r w:rsidR="00AE1587" w:rsidRPr="00E023E5">
        <w:t>)</w:t>
      </w:r>
      <w:r w:rsidR="00742DB3">
        <w:t xml:space="preserve"> là </w:t>
      </w:r>
      <w:r w:rsidR="00AE1587">
        <w:t>phù hợp.</w:t>
      </w:r>
    </w:p>
    <w:p w:rsidR="002C0083" w:rsidRDefault="00C561C0" w:rsidP="008276C8">
      <w:pPr>
        <w:spacing w:before="0" w:after="120"/>
        <w:ind w:firstLine="624"/>
        <w:rPr>
          <w:b/>
        </w:rPr>
      </w:pPr>
      <w:r w:rsidRPr="007A4DCC">
        <w:rPr>
          <w:b/>
        </w:rPr>
        <w:t>II. NGUỒN KINH PHÍ DỰ KIẾN THỰC HIỆN ĐỀ</w:t>
      </w:r>
      <w:r>
        <w:rPr>
          <w:b/>
        </w:rPr>
        <w:t xml:space="preserve"> ÁN</w:t>
      </w:r>
    </w:p>
    <w:p w:rsidR="00C52445" w:rsidRPr="007A4DCC" w:rsidRDefault="00C561C0" w:rsidP="00335015">
      <w:pPr>
        <w:spacing w:before="0" w:after="120"/>
        <w:ind w:firstLine="624"/>
      </w:pPr>
      <w:r w:rsidRPr="00335015">
        <w:t xml:space="preserve">Qua kết quả khảo sát, dự kiến năm đầu tiên kinh phí thực hiện Đề án khoảng </w:t>
      </w:r>
      <w:r w:rsidR="00335015" w:rsidRPr="00335015">
        <w:t>10</w:t>
      </w:r>
      <w:r w:rsidRPr="00335015">
        <w:t xml:space="preserve"> tỷ đồng</w:t>
      </w:r>
      <w:r w:rsidR="00335015">
        <w:rPr>
          <w:vertAlign w:val="superscript"/>
        </w:rPr>
        <w:t>(</w:t>
      </w:r>
      <w:r w:rsidR="00335015">
        <w:rPr>
          <w:rStyle w:val="FootnoteReference"/>
        </w:rPr>
        <w:footnoteReference w:id="2"/>
      </w:r>
      <w:r w:rsidR="00335015">
        <w:rPr>
          <w:vertAlign w:val="superscript"/>
        </w:rPr>
        <w:t>)</w:t>
      </w:r>
      <w:r w:rsidRPr="00335015">
        <w:t xml:space="preserve">. Các năm tiếp theo, trên cơ sở nhu cầu của các đối tượng vay vốn, Ủy ban nhân dân sẽ chỉ đạo các đơn vị, địa phương có liên quan tham mưu trình cấp có thẩm quyển bổ sung nguốn vốn ủy thác sang Ngân hàng Chính sách xã hội để đảm bảo nguồn </w:t>
      </w:r>
      <w:r w:rsidR="001D4EDA">
        <w:t>kinh phí</w:t>
      </w:r>
      <w:r w:rsidRPr="00335015">
        <w:t xml:space="preserve"> thực hiện Đề án.</w:t>
      </w:r>
      <w:r w:rsidR="00335015">
        <w:t>/.</w:t>
      </w:r>
    </w:p>
    <w:sectPr w:rsidR="00C52445" w:rsidRPr="007A4DCC" w:rsidSect="009E64F1">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1D7" w:rsidRDefault="007031D7" w:rsidP="00B539DD">
      <w:pPr>
        <w:spacing w:before="0" w:after="0"/>
      </w:pPr>
      <w:r>
        <w:separator/>
      </w:r>
    </w:p>
  </w:endnote>
  <w:endnote w:type="continuationSeparator" w:id="0">
    <w:p w:rsidR="007031D7" w:rsidRDefault="007031D7" w:rsidP="00B539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1D7" w:rsidRDefault="007031D7" w:rsidP="00B539DD">
      <w:pPr>
        <w:spacing w:before="0" w:after="0"/>
      </w:pPr>
      <w:r>
        <w:separator/>
      </w:r>
    </w:p>
  </w:footnote>
  <w:footnote w:type="continuationSeparator" w:id="0">
    <w:p w:rsidR="007031D7" w:rsidRDefault="007031D7" w:rsidP="00B539DD">
      <w:pPr>
        <w:spacing w:before="0" w:after="0"/>
      </w:pPr>
      <w:r>
        <w:continuationSeparator/>
      </w:r>
    </w:p>
  </w:footnote>
  <w:footnote w:id="1">
    <w:p w:rsidR="00676DEB" w:rsidRPr="008859A3" w:rsidRDefault="00676DEB" w:rsidP="00676DEB">
      <w:pPr>
        <w:pStyle w:val="FootnoteText"/>
        <w:ind w:firstLine="0"/>
        <w:rPr>
          <w:sz w:val="18"/>
          <w:szCs w:val="18"/>
        </w:rPr>
      </w:pPr>
      <w:r w:rsidRPr="008859A3">
        <w:rPr>
          <w:sz w:val="18"/>
          <w:szCs w:val="18"/>
          <w:vertAlign w:val="superscript"/>
        </w:rPr>
        <w:t>(</w:t>
      </w:r>
      <w:r w:rsidRPr="008859A3">
        <w:rPr>
          <w:rStyle w:val="FootnoteReference"/>
          <w:sz w:val="18"/>
          <w:szCs w:val="18"/>
        </w:rPr>
        <w:footnoteRef/>
      </w:r>
      <w:r w:rsidRPr="008859A3">
        <w:rPr>
          <w:sz w:val="18"/>
          <w:szCs w:val="18"/>
          <w:vertAlign w:val="superscript"/>
        </w:rPr>
        <w:t>)</w:t>
      </w:r>
      <w:r w:rsidRPr="008859A3">
        <w:rPr>
          <w:sz w:val="18"/>
          <w:szCs w:val="18"/>
        </w:rPr>
        <w:t xml:space="preserve"> Cơ quan chủ trì xây dựng Đề án đã lấy ý kiến các đơn vị, địa phương. Theo đó, có 16 đơn vị, địa phương và 15/21 thành viên Ủy ban nhân dân tỉnh thống nhất các đối tượng trên.</w:t>
      </w:r>
    </w:p>
  </w:footnote>
  <w:footnote w:id="2">
    <w:p w:rsidR="00335015" w:rsidRPr="008859A3" w:rsidRDefault="00335015" w:rsidP="008859A3">
      <w:pPr>
        <w:pStyle w:val="FootnoteText"/>
        <w:ind w:firstLine="0"/>
        <w:rPr>
          <w:sz w:val="18"/>
          <w:szCs w:val="18"/>
        </w:rPr>
      </w:pPr>
      <w:r w:rsidRPr="008859A3">
        <w:rPr>
          <w:sz w:val="18"/>
          <w:szCs w:val="18"/>
          <w:vertAlign w:val="superscript"/>
        </w:rPr>
        <w:t>(</w:t>
      </w:r>
      <w:r w:rsidRPr="008859A3">
        <w:rPr>
          <w:rStyle w:val="FootnoteReference"/>
          <w:sz w:val="18"/>
          <w:szCs w:val="18"/>
        </w:rPr>
        <w:footnoteRef/>
      </w:r>
      <w:r w:rsidRPr="008859A3">
        <w:rPr>
          <w:sz w:val="18"/>
          <w:szCs w:val="18"/>
          <w:vertAlign w:val="superscript"/>
        </w:rPr>
        <w:t>)</w:t>
      </w:r>
      <w:r w:rsidR="00DA373D">
        <w:rPr>
          <w:sz w:val="18"/>
          <w:szCs w:val="18"/>
        </w:rPr>
        <w:t xml:space="preserve">Thường trực Hội đồng nhân dân tỉnh đã thống nhất bổ sung từ nguồn tiết kiệm chi ngân sách năm 2018 ủy thác qua Ngân hàng Chính sách xã hội là 05 tỷ đồng tại Thông báo số 71/TB-HĐND ngày 13 tháng 11 năm 2019. </w:t>
      </w:r>
      <w:r w:rsidRPr="008859A3">
        <w:rPr>
          <w:sz w:val="18"/>
          <w:szCs w:val="18"/>
        </w:rPr>
        <w:t xml:space="preserve">Trong phương án phân bổ dự toán ngân sách nhà nước năm 2020, Ủy ban nhân dân tỉnh dự kiến trình Hội đồng nhân dân tỉnh </w:t>
      </w:r>
      <w:r w:rsidR="00DA373D">
        <w:rPr>
          <w:sz w:val="18"/>
          <w:szCs w:val="18"/>
        </w:rPr>
        <w:t>bổ sung thêm khoả</w:t>
      </w:r>
      <w:r w:rsidR="00E023E5">
        <w:rPr>
          <w:sz w:val="18"/>
          <w:szCs w:val="18"/>
        </w:rPr>
        <w:t>ng 05</w:t>
      </w:r>
      <w:r w:rsidR="00DA373D">
        <w:rPr>
          <w:sz w:val="18"/>
          <w:szCs w:val="18"/>
        </w:rPr>
        <w:t xml:space="preserve"> tỷ đồng ủ</w:t>
      </w:r>
      <w:r w:rsidR="00755F4A">
        <w:rPr>
          <w:sz w:val="18"/>
          <w:szCs w:val="18"/>
        </w:rPr>
        <w:t xml:space="preserve">y thác qua </w:t>
      </w:r>
      <w:r w:rsidR="006353F0">
        <w:rPr>
          <w:sz w:val="18"/>
          <w:szCs w:val="18"/>
        </w:rPr>
        <w:t>Ngân hàng Chính sách xã hội để thực hiện Đ</w:t>
      </w:r>
      <w:r w:rsidR="00FC219B">
        <w:rPr>
          <w:sz w:val="18"/>
          <w:szCs w:val="18"/>
        </w:rPr>
        <w:t xml:space="preserve">ề </w:t>
      </w:r>
      <w:r w:rsidR="006353F0">
        <w:rPr>
          <w:sz w:val="18"/>
          <w:szCs w:val="18"/>
        </w:rPr>
        <w:t>án.</w:t>
      </w:r>
      <w:r w:rsidR="00C31A52">
        <w:rPr>
          <w:sz w:val="18"/>
          <w:szCs w:val="18"/>
        </w:rPr>
        <w:t xml:space="preserve"> Như vậy, trong năm 2020 </w:t>
      </w:r>
      <w:r w:rsidR="001B5A13">
        <w:rPr>
          <w:sz w:val="18"/>
          <w:szCs w:val="18"/>
        </w:rPr>
        <w:t>nguồn</w:t>
      </w:r>
      <w:r w:rsidR="00C31A52">
        <w:rPr>
          <w:sz w:val="18"/>
          <w:szCs w:val="18"/>
        </w:rPr>
        <w:t xml:space="preserve"> kinh phí thực hiện Đề án cơ bản đảm bảo.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45"/>
    <w:rsid w:val="000039E8"/>
    <w:rsid w:val="00022752"/>
    <w:rsid w:val="0005398F"/>
    <w:rsid w:val="000636A6"/>
    <w:rsid w:val="00066466"/>
    <w:rsid w:val="000B0325"/>
    <w:rsid w:val="000F37ED"/>
    <w:rsid w:val="00100B41"/>
    <w:rsid w:val="001104FB"/>
    <w:rsid w:val="001B5A13"/>
    <w:rsid w:val="001D4EDA"/>
    <w:rsid w:val="001E4872"/>
    <w:rsid w:val="00207FCC"/>
    <w:rsid w:val="00215B90"/>
    <w:rsid w:val="00220798"/>
    <w:rsid w:val="00226DA5"/>
    <w:rsid w:val="00233917"/>
    <w:rsid w:val="00240C43"/>
    <w:rsid w:val="0025228D"/>
    <w:rsid w:val="00297D30"/>
    <w:rsid w:val="002B7235"/>
    <w:rsid w:val="002C0083"/>
    <w:rsid w:val="002D36D9"/>
    <w:rsid w:val="00326E6C"/>
    <w:rsid w:val="0033003E"/>
    <w:rsid w:val="00335015"/>
    <w:rsid w:val="00342516"/>
    <w:rsid w:val="0037163B"/>
    <w:rsid w:val="003820E9"/>
    <w:rsid w:val="004065D4"/>
    <w:rsid w:val="00430E7E"/>
    <w:rsid w:val="004F6618"/>
    <w:rsid w:val="005435FD"/>
    <w:rsid w:val="005B3E79"/>
    <w:rsid w:val="005C7B22"/>
    <w:rsid w:val="005C7B58"/>
    <w:rsid w:val="005E5743"/>
    <w:rsid w:val="00626CCF"/>
    <w:rsid w:val="006353F0"/>
    <w:rsid w:val="00635CA8"/>
    <w:rsid w:val="00666632"/>
    <w:rsid w:val="00675B16"/>
    <w:rsid w:val="0067656D"/>
    <w:rsid w:val="00676DEB"/>
    <w:rsid w:val="007031D7"/>
    <w:rsid w:val="00734F59"/>
    <w:rsid w:val="00742DB3"/>
    <w:rsid w:val="00755F4A"/>
    <w:rsid w:val="00756F55"/>
    <w:rsid w:val="00774A9A"/>
    <w:rsid w:val="007A4DCC"/>
    <w:rsid w:val="007D0036"/>
    <w:rsid w:val="007F060A"/>
    <w:rsid w:val="008276C8"/>
    <w:rsid w:val="0083116C"/>
    <w:rsid w:val="008859A3"/>
    <w:rsid w:val="008A0E92"/>
    <w:rsid w:val="008A27B8"/>
    <w:rsid w:val="008A7343"/>
    <w:rsid w:val="008B65AB"/>
    <w:rsid w:val="009A30E4"/>
    <w:rsid w:val="009E64F1"/>
    <w:rsid w:val="00A0188E"/>
    <w:rsid w:val="00A128CB"/>
    <w:rsid w:val="00A24ECD"/>
    <w:rsid w:val="00A3677C"/>
    <w:rsid w:val="00AE1587"/>
    <w:rsid w:val="00B3704D"/>
    <w:rsid w:val="00B539DD"/>
    <w:rsid w:val="00B57C55"/>
    <w:rsid w:val="00BB28B5"/>
    <w:rsid w:val="00C31A52"/>
    <w:rsid w:val="00C418DD"/>
    <w:rsid w:val="00C52445"/>
    <w:rsid w:val="00C561C0"/>
    <w:rsid w:val="00C65248"/>
    <w:rsid w:val="00CC68D8"/>
    <w:rsid w:val="00D06BC9"/>
    <w:rsid w:val="00D73DE7"/>
    <w:rsid w:val="00D957DD"/>
    <w:rsid w:val="00DA373D"/>
    <w:rsid w:val="00DF2884"/>
    <w:rsid w:val="00DF3827"/>
    <w:rsid w:val="00DF3BDB"/>
    <w:rsid w:val="00E023E5"/>
    <w:rsid w:val="00E06586"/>
    <w:rsid w:val="00E1061A"/>
    <w:rsid w:val="00E149F5"/>
    <w:rsid w:val="00E15580"/>
    <w:rsid w:val="00E1766D"/>
    <w:rsid w:val="00E43B56"/>
    <w:rsid w:val="00E442E1"/>
    <w:rsid w:val="00EA7975"/>
    <w:rsid w:val="00EB11E4"/>
    <w:rsid w:val="00F10B90"/>
    <w:rsid w:val="00F264E5"/>
    <w:rsid w:val="00F50418"/>
    <w:rsid w:val="00F5644E"/>
    <w:rsid w:val="00FC219B"/>
    <w:rsid w:val="00FE59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lang w:val="en-US" w:eastAsia="en-US" w:bidi="ar-SA"/>
      </w:rPr>
    </w:rPrDefault>
    <w:pPrDefault>
      <w:pPr>
        <w:spacing w:before="80" w:after="4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E6C"/>
  </w:style>
  <w:style w:type="paragraph" w:styleId="Heading1">
    <w:name w:val="heading 1"/>
    <w:basedOn w:val="Normal"/>
    <w:next w:val="Normal"/>
    <w:link w:val="Heading1Char"/>
    <w:qFormat/>
    <w:rsid w:val="001E4872"/>
    <w:pPr>
      <w:keepNext/>
      <w:spacing w:before="240" w:after="60"/>
      <w:ind w:firstLine="0"/>
      <w:jc w:val="left"/>
      <w:outlineLvl w:val="0"/>
    </w:pPr>
    <w:rPr>
      <w:rFonts w:ascii="Cambria" w:eastAsia="Times New Roman" w:hAnsi="Cambria"/>
      <w:b/>
      <w:bCs/>
      <w:color w:val="3E3E3E"/>
      <w:spacing w:val="-6"/>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445"/>
    <w:pPr>
      <w:ind w:left="720"/>
      <w:contextualSpacing/>
    </w:pPr>
  </w:style>
  <w:style w:type="paragraph" w:styleId="FootnoteText">
    <w:name w:val="footnote text"/>
    <w:basedOn w:val="Normal"/>
    <w:link w:val="FootnoteTextChar"/>
    <w:unhideWhenUsed/>
    <w:rsid w:val="00B539DD"/>
    <w:pPr>
      <w:spacing w:before="0" w:after="0"/>
    </w:pPr>
    <w:rPr>
      <w:sz w:val="20"/>
    </w:rPr>
  </w:style>
  <w:style w:type="character" w:customStyle="1" w:styleId="FootnoteTextChar">
    <w:name w:val="Footnote Text Char"/>
    <w:basedOn w:val="DefaultParagraphFont"/>
    <w:link w:val="FootnoteText"/>
    <w:rsid w:val="00B539DD"/>
    <w:rPr>
      <w:sz w:val="20"/>
    </w:rPr>
  </w:style>
  <w:style w:type="character" w:styleId="FootnoteReference">
    <w:name w:val="footnote reference"/>
    <w:basedOn w:val="DefaultParagraphFont"/>
    <w:unhideWhenUsed/>
    <w:rsid w:val="00B539DD"/>
    <w:rPr>
      <w:vertAlign w:val="superscript"/>
    </w:rPr>
  </w:style>
  <w:style w:type="character" w:customStyle="1" w:styleId="Heading1Char">
    <w:name w:val="Heading 1 Char"/>
    <w:basedOn w:val="DefaultParagraphFont"/>
    <w:link w:val="Heading1"/>
    <w:rsid w:val="001E4872"/>
    <w:rPr>
      <w:rFonts w:ascii="Cambria" w:eastAsia="Times New Roman" w:hAnsi="Cambria"/>
      <w:b/>
      <w:bCs/>
      <w:color w:val="3E3E3E"/>
      <w:spacing w:val="-6"/>
      <w:kern w:val="32"/>
      <w:sz w:val="32"/>
      <w:szCs w:val="32"/>
    </w:rPr>
  </w:style>
  <w:style w:type="paragraph" w:styleId="BodyTextIndent3">
    <w:name w:val="Body Text Indent 3"/>
    <w:basedOn w:val="Normal"/>
    <w:link w:val="BodyTextIndent3Char"/>
    <w:unhideWhenUsed/>
    <w:rsid w:val="001E4872"/>
    <w:pPr>
      <w:spacing w:before="0" w:after="120"/>
      <w:ind w:left="283" w:firstLine="0"/>
      <w:jc w:val="left"/>
    </w:pPr>
    <w:rPr>
      <w:rFonts w:eastAsia="Times New Roman" w:cs="Tahoma"/>
      <w:color w:val="3E3E3E"/>
      <w:spacing w:val="-6"/>
      <w:sz w:val="16"/>
      <w:szCs w:val="16"/>
    </w:rPr>
  </w:style>
  <w:style w:type="character" w:customStyle="1" w:styleId="BodyTextIndent3Char">
    <w:name w:val="Body Text Indent 3 Char"/>
    <w:basedOn w:val="DefaultParagraphFont"/>
    <w:link w:val="BodyTextIndent3"/>
    <w:rsid w:val="001E4872"/>
    <w:rPr>
      <w:rFonts w:eastAsia="Times New Roman" w:cs="Tahoma"/>
      <w:color w:val="3E3E3E"/>
      <w:spacing w:val="-6"/>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lang w:val="en-US" w:eastAsia="en-US" w:bidi="ar-SA"/>
      </w:rPr>
    </w:rPrDefault>
    <w:pPrDefault>
      <w:pPr>
        <w:spacing w:before="80" w:after="4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E6C"/>
  </w:style>
  <w:style w:type="paragraph" w:styleId="Heading1">
    <w:name w:val="heading 1"/>
    <w:basedOn w:val="Normal"/>
    <w:next w:val="Normal"/>
    <w:link w:val="Heading1Char"/>
    <w:qFormat/>
    <w:rsid w:val="001E4872"/>
    <w:pPr>
      <w:keepNext/>
      <w:spacing w:before="240" w:after="60"/>
      <w:ind w:firstLine="0"/>
      <w:jc w:val="left"/>
      <w:outlineLvl w:val="0"/>
    </w:pPr>
    <w:rPr>
      <w:rFonts w:ascii="Cambria" w:eastAsia="Times New Roman" w:hAnsi="Cambria"/>
      <w:b/>
      <w:bCs/>
      <w:color w:val="3E3E3E"/>
      <w:spacing w:val="-6"/>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445"/>
    <w:pPr>
      <w:ind w:left="720"/>
      <w:contextualSpacing/>
    </w:pPr>
  </w:style>
  <w:style w:type="paragraph" w:styleId="FootnoteText">
    <w:name w:val="footnote text"/>
    <w:basedOn w:val="Normal"/>
    <w:link w:val="FootnoteTextChar"/>
    <w:unhideWhenUsed/>
    <w:rsid w:val="00B539DD"/>
    <w:pPr>
      <w:spacing w:before="0" w:after="0"/>
    </w:pPr>
    <w:rPr>
      <w:sz w:val="20"/>
    </w:rPr>
  </w:style>
  <w:style w:type="character" w:customStyle="1" w:styleId="FootnoteTextChar">
    <w:name w:val="Footnote Text Char"/>
    <w:basedOn w:val="DefaultParagraphFont"/>
    <w:link w:val="FootnoteText"/>
    <w:rsid w:val="00B539DD"/>
    <w:rPr>
      <w:sz w:val="20"/>
    </w:rPr>
  </w:style>
  <w:style w:type="character" w:styleId="FootnoteReference">
    <w:name w:val="footnote reference"/>
    <w:basedOn w:val="DefaultParagraphFont"/>
    <w:unhideWhenUsed/>
    <w:rsid w:val="00B539DD"/>
    <w:rPr>
      <w:vertAlign w:val="superscript"/>
    </w:rPr>
  </w:style>
  <w:style w:type="character" w:customStyle="1" w:styleId="Heading1Char">
    <w:name w:val="Heading 1 Char"/>
    <w:basedOn w:val="DefaultParagraphFont"/>
    <w:link w:val="Heading1"/>
    <w:rsid w:val="001E4872"/>
    <w:rPr>
      <w:rFonts w:ascii="Cambria" w:eastAsia="Times New Roman" w:hAnsi="Cambria"/>
      <w:b/>
      <w:bCs/>
      <w:color w:val="3E3E3E"/>
      <w:spacing w:val="-6"/>
      <w:kern w:val="32"/>
      <w:sz w:val="32"/>
      <w:szCs w:val="32"/>
    </w:rPr>
  </w:style>
  <w:style w:type="paragraph" w:styleId="BodyTextIndent3">
    <w:name w:val="Body Text Indent 3"/>
    <w:basedOn w:val="Normal"/>
    <w:link w:val="BodyTextIndent3Char"/>
    <w:unhideWhenUsed/>
    <w:rsid w:val="001E4872"/>
    <w:pPr>
      <w:spacing w:before="0" w:after="120"/>
      <w:ind w:left="283" w:firstLine="0"/>
      <w:jc w:val="left"/>
    </w:pPr>
    <w:rPr>
      <w:rFonts w:eastAsia="Times New Roman" w:cs="Tahoma"/>
      <w:color w:val="3E3E3E"/>
      <w:spacing w:val="-6"/>
      <w:sz w:val="16"/>
      <w:szCs w:val="16"/>
    </w:rPr>
  </w:style>
  <w:style w:type="character" w:customStyle="1" w:styleId="BodyTextIndent3Char">
    <w:name w:val="Body Text Indent 3 Char"/>
    <w:basedOn w:val="DefaultParagraphFont"/>
    <w:link w:val="BodyTextIndent3"/>
    <w:rsid w:val="001E4872"/>
    <w:rPr>
      <w:rFonts w:eastAsia="Times New Roman" w:cs="Tahoma"/>
      <w:color w:val="3E3E3E"/>
      <w:spacing w:val="-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978F6-B988-4682-B3C1-12A381BD9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V Ha</dc:creator>
  <cp:lastModifiedBy>Dương Thị Yên</cp:lastModifiedBy>
  <cp:revision>2</cp:revision>
  <cp:lastPrinted>2019-11-19T03:31:00Z</cp:lastPrinted>
  <dcterms:created xsi:type="dcterms:W3CDTF">2019-11-21T01:07:00Z</dcterms:created>
  <dcterms:modified xsi:type="dcterms:W3CDTF">2019-11-21T01:07:00Z</dcterms:modified>
</cp:coreProperties>
</file>