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7"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81"/>
      </w:tblGrid>
      <w:tr w:rsidR="00325736" w:rsidRPr="00325736" w:rsidTr="00341559">
        <w:trPr>
          <w:trHeight w:hRule="exact" w:val="689"/>
        </w:trPr>
        <w:tc>
          <w:tcPr>
            <w:tcW w:w="1981" w:type="pct"/>
            <w:tcBorders>
              <w:top w:val="nil"/>
              <w:left w:val="nil"/>
              <w:bottom w:val="nil"/>
              <w:right w:val="nil"/>
            </w:tcBorders>
            <w:hideMark/>
          </w:tcPr>
          <w:p w:rsidR="009F6FB1" w:rsidRPr="00325736" w:rsidRDefault="009F6FB1" w:rsidP="009F6FB1">
            <w:pPr>
              <w:pStyle w:val="Heading3"/>
              <w:spacing w:before="0" w:after="0"/>
              <w:jc w:val="center"/>
              <w:rPr>
                <w:b w:val="0"/>
                <w:color w:val="auto"/>
                <w:sz w:val="26"/>
                <w:szCs w:val="26"/>
              </w:rPr>
            </w:pPr>
            <w:r w:rsidRPr="00325736">
              <w:rPr>
                <w:b w:val="0"/>
                <w:color w:val="auto"/>
                <w:sz w:val="26"/>
                <w:szCs w:val="26"/>
              </w:rPr>
              <w:t>HĐND TỈNH KON TUM</w:t>
            </w:r>
          </w:p>
          <w:p w:rsidR="009F6FB1" w:rsidRPr="00325736" w:rsidRDefault="009F6FB1" w:rsidP="009F6FB1">
            <w:pPr>
              <w:jc w:val="center"/>
              <w:rPr>
                <w:b/>
                <w:lang w:eastAsia="vi-VN"/>
              </w:rPr>
            </w:pPr>
            <w:r w:rsidRPr="00325736">
              <w:rPr>
                <w:lang w:eastAsia="vi-VN"/>
              </w:rPr>
              <mc:AlternateContent>
                <mc:Choice Requires="wps">
                  <w:drawing>
                    <wp:anchor distT="4294967294" distB="4294967294" distL="114300" distR="114300" simplePos="0" relativeHeight="251655680" behindDoc="0" locked="0" layoutInCell="1" allowOverlap="1" wp14:anchorId="3BED7F1A" wp14:editId="15F27DA7">
                      <wp:simplePos x="0" y="0"/>
                      <wp:positionH relativeFrom="margin">
                        <wp:posOffset>687334</wp:posOffset>
                      </wp:positionH>
                      <wp:positionV relativeFrom="paragraph">
                        <wp:posOffset>214630</wp:posOffset>
                      </wp:positionV>
                      <wp:extent cx="59563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56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4.1pt,16.9pt" to="10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p8HQIAADUEAAAOAAAAZHJzL2Uyb0RvYy54bWysU02P2yAQvVfqf0DcE9vZOE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" strokecolor="#002060">
                      <w10:wrap anchorx="margin"/>
                    </v:line>
                  </w:pict>
                </mc:Fallback>
              </mc:AlternateContent>
            </w:r>
            <w:r w:rsidRPr="00325736">
              <w:rPr>
                <w:b/>
                <w:sz w:val="26"/>
                <w:lang w:eastAsia="vi-VN"/>
              </w:rPr>
              <w:t>BAN KINH TẾ - NGÂN SÁCH</w:t>
            </w:r>
          </w:p>
        </w:tc>
        <w:tc>
          <w:tcPr>
            <w:tcW w:w="3019" w:type="pct"/>
            <w:tcBorders>
              <w:top w:val="nil"/>
              <w:left w:val="nil"/>
              <w:bottom w:val="nil"/>
              <w:right w:val="nil"/>
            </w:tcBorders>
            <w:hideMark/>
          </w:tcPr>
          <w:p w:rsidR="009F6FB1" w:rsidRPr="00325736" w:rsidRDefault="009F6FB1" w:rsidP="009F6FB1">
            <w:pPr>
              <w:jc w:val="center"/>
              <w:rPr>
                <w:b/>
                <w:sz w:val="26"/>
                <w:szCs w:val="26"/>
              </w:rPr>
            </w:pPr>
            <w:r w:rsidRPr="00325736">
              <w:rPr>
                <w:b/>
                <w:sz w:val="26"/>
                <w:szCs w:val="26"/>
              </w:rPr>
              <w:t>CỘNG HÒA XÃ HỘI CHỦ NGHĨA VIỆT NAM</w:t>
            </w:r>
          </w:p>
          <w:p w:rsidR="009F6FB1" w:rsidRPr="00325736" w:rsidRDefault="009F6FB1" w:rsidP="009F6FB1">
            <w:pPr>
              <w:jc w:val="center"/>
              <w:rPr>
                <w:b/>
                <w:sz w:val="28"/>
                <w:szCs w:val="28"/>
              </w:rPr>
            </w:pPr>
            <w:r w:rsidRPr="00325736">
              <w:rPr>
                <w:sz w:val="28"/>
                <w:szCs w:val="28"/>
                <w:lang w:eastAsia="vi-VN"/>
              </w:rPr>
              <mc:AlternateContent>
                <mc:Choice Requires="wps">
                  <w:drawing>
                    <wp:anchor distT="4294967294" distB="4294967294" distL="114300" distR="114300" simplePos="0" relativeHeight="251661824" behindDoc="0" locked="0" layoutInCell="1" allowOverlap="1" wp14:anchorId="120D98D5" wp14:editId="77811121">
                      <wp:simplePos x="0" y="0"/>
                      <wp:positionH relativeFrom="column">
                        <wp:posOffset>685045</wp:posOffset>
                      </wp:positionH>
                      <wp:positionV relativeFrom="paragraph">
                        <wp:posOffset>241432</wp:posOffset>
                      </wp:positionV>
                      <wp:extent cx="214693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95pt,19pt" to="2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L2HgIAADY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" strokecolor="#002060"/>
                  </w:pict>
                </mc:Fallback>
              </mc:AlternateContent>
            </w:r>
            <w:r w:rsidRPr="00325736">
              <w:rPr>
                <w:b/>
                <w:sz w:val="28"/>
                <w:szCs w:val="28"/>
              </w:rPr>
              <w:t>Độc lập - Tự do - Hạnh phúc</w:t>
            </w:r>
          </w:p>
        </w:tc>
      </w:tr>
      <w:tr w:rsidR="00325736" w:rsidRPr="00325736" w:rsidTr="00341559">
        <w:trPr>
          <w:trHeight w:hRule="exact" w:val="881"/>
        </w:trPr>
        <w:tc>
          <w:tcPr>
            <w:tcW w:w="1981" w:type="pct"/>
            <w:tcBorders>
              <w:top w:val="nil"/>
              <w:left w:val="nil"/>
              <w:bottom w:val="nil"/>
              <w:right w:val="nil"/>
            </w:tcBorders>
            <w:hideMark/>
          </w:tcPr>
          <w:p w:rsidR="009F6FB1" w:rsidRPr="00325736" w:rsidRDefault="009F6FB1" w:rsidP="002874B3">
            <w:pPr>
              <w:jc w:val="center"/>
              <w:rPr>
                <w:sz w:val="28"/>
                <w:szCs w:val="28"/>
                <w:lang w:val="en-US"/>
              </w:rPr>
            </w:pPr>
            <w:r w:rsidRPr="00325736">
              <w:rPr>
                <w:sz w:val="28"/>
                <w:szCs w:val="28"/>
              </w:rPr>
              <w:t xml:space="preserve">Số: </w:t>
            </w:r>
            <w:r w:rsidR="002874B3">
              <w:rPr>
                <w:sz w:val="28"/>
                <w:szCs w:val="28"/>
                <w:lang w:val="en-US"/>
              </w:rPr>
              <w:t>138</w:t>
            </w:r>
            <w:r w:rsidRPr="00325736">
              <w:rPr>
                <w:sz w:val="28"/>
                <w:szCs w:val="28"/>
              </w:rPr>
              <w:t xml:space="preserve">  /BC-BKTNS</w:t>
            </w:r>
          </w:p>
        </w:tc>
        <w:tc>
          <w:tcPr>
            <w:tcW w:w="3019" w:type="pct"/>
            <w:tcBorders>
              <w:top w:val="nil"/>
              <w:left w:val="nil"/>
              <w:bottom w:val="nil"/>
              <w:right w:val="nil"/>
            </w:tcBorders>
            <w:hideMark/>
          </w:tcPr>
          <w:p w:rsidR="009F6FB1" w:rsidRPr="002874B3" w:rsidRDefault="009F6FB1" w:rsidP="002874B3">
            <w:pPr>
              <w:ind w:firstLine="759"/>
              <w:rPr>
                <w:i/>
                <w:sz w:val="28"/>
                <w:szCs w:val="28"/>
                <w:lang w:val="en-US"/>
              </w:rPr>
            </w:pPr>
            <w:r w:rsidRPr="00325736">
              <w:rPr>
                <w:i/>
                <w:sz w:val="28"/>
                <w:szCs w:val="28"/>
              </w:rPr>
              <w:t xml:space="preserve">Kon Tum, ngày  </w:t>
            </w:r>
            <w:r w:rsidR="002874B3">
              <w:rPr>
                <w:i/>
                <w:sz w:val="28"/>
                <w:szCs w:val="28"/>
                <w:lang w:val="en-US"/>
              </w:rPr>
              <w:t>02</w:t>
            </w:r>
            <w:r w:rsidRPr="00325736">
              <w:rPr>
                <w:i/>
                <w:sz w:val="28"/>
                <w:szCs w:val="28"/>
              </w:rPr>
              <w:t xml:space="preserve">  tháng  </w:t>
            </w:r>
            <w:r w:rsidR="002874B3">
              <w:rPr>
                <w:i/>
                <w:sz w:val="28"/>
                <w:szCs w:val="28"/>
                <w:lang w:val="en-US"/>
              </w:rPr>
              <w:t>12</w:t>
            </w:r>
            <w:r w:rsidRPr="00325736">
              <w:rPr>
                <w:i/>
                <w:sz w:val="28"/>
                <w:szCs w:val="28"/>
              </w:rPr>
              <w:t xml:space="preserve">  năm</w:t>
            </w:r>
            <w:r w:rsidR="002874B3">
              <w:rPr>
                <w:i/>
                <w:sz w:val="28"/>
                <w:szCs w:val="28"/>
                <w:lang w:val="en-US"/>
              </w:rPr>
              <w:t xml:space="preserve">  2020</w:t>
            </w:r>
          </w:p>
        </w:tc>
      </w:tr>
    </w:tbl>
    <w:p w:rsidR="0058551B" w:rsidRPr="00325736" w:rsidRDefault="0058551B" w:rsidP="0058551B">
      <w:pPr>
        <w:jc w:val="center"/>
        <w:rPr>
          <w:b/>
          <w:sz w:val="28"/>
        </w:rPr>
      </w:pPr>
      <w:r w:rsidRPr="00325736">
        <w:rPr>
          <w:b/>
          <w:sz w:val="28"/>
        </w:rPr>
        <w:t>BÁO CÁO THẨM TRA</w:t>
      </w:r>
    </w:p>
    <w:p w:rsidR="00A1171D" w:rsidRPr="00325736" w:rsidRDefault="0058551B" w:rsidP="00C8289C">
      <w:pPr>
        <w:jc w:val="center"/>
        <w:rPr>
          <w:b/>
          <w:sz w:val="28"/>
        </w:rPr>
      </w:pPr>
      <w:r w:rsidRPr="00325736">
        <w:rPr>
          <w:b/>
          <w:sz w:val="28"/>
        </w:rPr>
        <w:t xml:space="preserve">Về tình hình thực hiện </w:t>
      </w:r>
      <w:r w:rsidR="00A1171D" w:rsidRPr="00325736">
        <w:rPr>
          <w:b/>
          <w:sz w:val="28"/>
        </w:rPr>
        <w:t>nhiệm vụ thu, chi ngân sách</w:t>
      </w:r>
      <w:r w:rsidRPr="00325736">
        <w:rPr>
          <w:b/>
          <w:sz w:val="28"/>
        </w:rPr>
        <w:t xml:space="preserve"> </w:t>
      </w:r>
      <w:r w:rsidR="00814E95" w:rsidRPr="00325736">
        <w:rPr>
          <w:b/>
          <w:sz w:val="28"/>
        </w:rPr>
        <w:t>năm 20</w:t>
      </w:r>
      <w:r w:rsidR="009F6FB1" w:rsidRPr="00325736">
        <w:rPr>
          <w:b/>
          <w:sz w:val="28"/>
        </w:rPr>
        <w:t>20</w:t>
      </w:r>
      <w:r w:rsidRPr="00325736">
        <w:rPr>
          <w:b/>
          <w:sz w:val="28"/>
        </w:rPr>
        <w:t>;</w:t>
      </w:r>
      <w:r w:rsidR="00064095" w:rsidRPr="00325736">
        <w:rPr>
          <w:b/>
          <w:sz w:val="28"/>
        </w:rPr>
        <w:t xml:space="preserve"> </w:t>
      </w:r>
    </w:p>
    <w:p w:rsidR="00C8289C" w:rsidRPr="00325736" w:rsidRDefault="00C8289C" w:rsidP="00C8289C">
      <w:pPr>
        <w:jc w:val="center"/>
        <w:rPr>
          <w:b/>
          <w:sz w:val="28"/>
        </w:rPr>
      </w:pPr>
      <w:r w:rsidRPr="00325736">
        <w:rPr>
          <w:b/>
          <w:sz w:val="28"/>
        </w:rPr>
        <w:t>dự thảo nghị quyết về dự toán thu, chi ngân sách địa phương và</w:t>
      </w:r>
    </w:p>
    <w:p w:rsidR="00C8289C" w:rsidRPr="00325736" w:rsidRDefault="00C8289C" w:rsidP="00C8289C">
      <w:pPr>
        <w:jc w:val="center"/>
        <w:rPr>
          <w:b/>
          <w:sz w:val="28"/>
        </w:rPr>
      </w:pPr>
      <w:r w:rsidRPr="00325736">
        <w:rPr>
          <w:b/>
          <w:sz w:val="28"/>
        </w:rPr>
        <w:t>phân bổ ngân sách</w:t>
      </w:r>
      <w:r w:rsidR="00C13330" w:rsidRPr="00325736">
        <w:rPr>
          <w:b/>
          <w:sz w:val="28"/>
        </w:rPr>
        <w:t xml:space="preserve"> cấp tỉnh</w:t>
      </w:r>
      <w:r w:rsidRPr="00325736">
        <w:rPr>
          <w:b/>
          <w:sz w:val="28"/>
        </w:rPr>
        <w:t xml:space="preserve"> năm 20</w:t>
      </w:r>
      <w:r w:rsidR="00B22C2D" w:rsidRPr="00325736">
        <w:rPr>
          <w:b/>
          <w:sz w:val="28"/>
        </w:rPr>
        <w:t>2</w:t>
      </w:r>
      <w:r w:rsidR="009F6FB1" w:rsidRPr="00325736">
        <w:rPr>
          <w:b/>
          <w:sz w:val="28"/>
        </w:rPr>
        <w:t>1</w:t>
      </w:r>
    </w:p>
    <w:p w:rsidR="00D25C51" w:rsidRPr="002874B3" w:rsidRDefault="00606BAF" w:rsidP="00D25C51">
      <w:pPr>
        <w:spacing w:before="120" w:after="120" w:line="252" w:lineRule="auto"/>
        <w:ind w:firstLine="709"/>
        <w:jc w:val="both"/>
        <w:rPr>
          <w:sz w:val="28"/>
        </w:rPr>
      </w:pPr>
      <w:r w:rsidRPr="00325736">
        <w:rPr>
          <w:sz w:val="28"/>
          <w:lang w:eastAsia="vi-VN"/>
        </w:rPr>
        <mc:AlternateContent>
          <mc:Choice Requires="wps">
            <w:drawing>
              <wp:anchor distT="0" distB="0" distL="114300" distR="114300" simplePos="0" relativeHeight="251648512" behindDoc="0" locked="0" layoutInCell="1" allowOverlap="1" wp14:anchorId="2E8EE4E6" wp14:editId="2E8EE4E7">
                <wp:simplePos x="0" y="0"/>
                <wp:positionH relativeFrom="margin">
                  <wp:align>center</wp:align>
                </wp:positionH>
                <wp:positionV relativeFrom="paragraph">
                  <wp:posOffset>67310</wp:posOffset>
                </wp:positionV>
                <wp:extent cx="639445" cy="0"/>
                <wp:effectExtent l="6985" t="14605" r="1079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50.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q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" strokeweight="1pt">
                <w10:wrap anchorx="margin"/>
              </v:line>
            </w:pict>
          </mc:Fallback>
        </mc:AlternateContent>
      </w:r>
    </w:p>
    <w:p w:rsidR="00B369D5" w:rsidRPr="00325736" w:rsidRDefault="00B369D5" w:rsidP="00D25C51">
      <w:pPr>
        <w:spacing w:before="120" w:after="120" w:line="252" w:lineRule="auto"/>
        <w:ind w:firstLine="709"/>
        <w:jc w:val="both"/>
        <w:rPr>
          <w:sz w:val="28"/>
        </w:rPr>
      </w:pPr>
      <w:r w:rsidRPr="00325736">
        <w:rPr>
          <w:sz w:val="28"/>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rsidR="007E06BC" w:rsidRPr="00325736" w:rsidRDefault="00556DF1" w:rsidP="00325736">
      <w:pPr>
        <w:spacing w:before="120" w:after="120"/>
        <w:ind w:firstLine="709"/>
        <w:jc w:val="both"/>
        <w:rPr>
          <w:sz w:val="28"/>
        </w:rPr>
      </w:pPr>
      <w:r w:rsidRPr="00325736">
        <w:rPr>
          <w:sz w:val="28"/>
          <w:szCs w:val="28"/>
        </w:rPr>
        <w:t xml:space="preserve">Thực hiện sự phân công của Thường trực Hội đồng nhân </w:t>
      </w:r>
      <w:r w:rsidR="004E0B76" w:rsidRPr="00325736">
        <w:rPr>
          <w:sz w:val="28"/>
          <w:szCs w:val="28"/>
        </w:rPr>
        <w:t>tỉnh</w:t>
      </w:r>
      <w:r w:rsidR="00AA05D2" w:rsidRPr="00325736">
        <w:rPr>
          <w:sz w:val="28"/>
        </w:rPr>
        <w:t xml:space="preserve">, </w:t>
      </w:r>
      <w:r w:rsidR="007E06BC" w:rsidRPr="00325736">
        <w:rPr>
          <w:sz w:val="28"/>
        </w:rPr>
        <w:t>trên cơ sở</w:t>
      </w:r>
      <w:r w:rsidR="00AA05D2" w:rsidRPr="00325736">
        <w:rPr>
          <w:sz w:val="28"/>
        </w:rPr>
        <w:t xml:space="preserve"> Báo cáo số </w:t>
      </w:r>
      <w:r w:rsidR="00B369D5" w:rsidRPr="00325736">
        <w:rPr>
          <w:sz w:val="28"/>
        </w:rPr>
        <w:t>335</w:t>
      </w:r>
      <w:r w:rsidRPr="00325736">
        <w:rPr>
          <w:sz w:val="28"/>
        </w:rPr>
        <w:t>/</w:t>
      </w:r>
      <w:r w:rsidR="00AA05D2" w:rsidRPr="00325736">
        <w:rPr>
          <w:sz w:val="28"/>
        </w:rPr>
        <w:t xml:space="preserve">BC-UBND ngày </w:t>
      </w:r>
      <w:r w:rsidR="00A1171D" w:rsidRPr="00325736">
        <w:rPr>
          <w:sz w:val="28"/>
        </w:rPr>
        <w:t>1</w:t>
      </w:r>
      <w:r w:rsidR="00DC0D07" w:rsidRPr="00325736">
        <w:rPr>
          <w:sz w:val="28"/>
        </w:rPr>
        <w:t>7</w:t>
      </w:r>
      <w:r w:rsidR="00AA05D2" w:rsidRPr="00325736">
        <w:rPr>
          <w:sz w:val="28"/>
        </w:rPr>
        <w:t>/11/20</w:t>
      </w:r>
      <w:r w:rsidR="00DC0D07" w:rsidRPr="00325736">
        <w:rPr>
          <w:sz w:val="28"/>
        </w:rPr>
        <w:t>20</w:t>
      </w:r>
      <w:r w:rsidR="00AA05D2" w:rsidRPr="00325736">
        <w:rPr>
          <w:sz w:val="28"/>
        </w:rPr>
        <w:t xml:space="preserve"> của Ủy ban nhân dân tỉnh về tình hình thực hiện </w:t>
      </w:r>
      <w:r w:rsidR="00A1171D" w:rsidRPr="00325736">
        <w:rPr>
          <w:sz w:val="28"/>
        </w:rPr>
        <w:t xml:space="preserve">nhiệm vụ thu, chi </w:t>
      </w:r>
      <w:r w:rsidR="00AA05D2" w:rsidRPr="00325736">
        <w:rPr>
          <w:sz w:val="28"/>
        </w:rPr>
        <w:t>ngân sách năm 201</w:t>
      </w:r>
      <w:r w:rsidR="0079063E" w:rsidRPr="00325736">
        <w:rPr>
          <w:sz w:val="28"/>
        </w:rPr>
        <w:t>9</w:t>
      </w:r>
      <w:r w:rsidR="00052E2B" w:rsidRPr="00325736">
        <w:rPr>
          <w:sz w:val="28"/>
        </w:rPr>
        <w:t xml:space="preserve">; Tờ trình </w:t>
      </w:r>
      <w:r w:rsidR="00ED3122" w:rsidRPr="00325736">
        <w:rPr>
          <w:sz w:val="28"/>
        </w:rPr>
        <w:t>số</w:t>
      </w:r>
      <w:r w:rsidR="00052E2B" w:rsidRPr="00325736">
        <w:rPr>
          <w:sz w:val="28"/>
        </w:rPr>
        <w:t xml:space="preserve"> </w:t>
      </w:r>
      <w:r w:rsidR="002440CF" w:rsidRPr="00325736">
        <w:rPr>
          <w:sz w:val="28"/>
        </w:rPr>
        <w:t>1</w:t>
      </w:r>
      <w:r w:rsidR="00983D8A" w:rsidRPr="00325736">
        <w:rPr>
          <w:sz w:val="28"/>
        </w:rPr>
        <w:t>37</w:t>
      </w:r>
      <w:r w:rsidR="00F042BC" w:rsidRPr="00325736">
        <w:rPr>
          <w:sz w:val="28"/>
        </w:rPr>
        <w:t>/</w:t>
      </w:r>
      <w:r w:rsidR="00052E2B" w:rsidRPr="00325736">
        <w:rPr>
          <w:sz w:val="28"/>
        </w:rPr>
        <w:t xml:space="preserve">TTr-UBND ngày </w:t>
      </w:r>
      <w:r w:rsidR="002440CF" w:rsidRPr="00325736">
        <w:rPr>
          <w:sz w:val="28"/>
        </w:rPr>
        <w:t>2</w:t>
      </w:r>
      <w:r w:rsidR="00983D8A" w:rsidRPr="00325736">
        <w:rPr>
          <w:sz w:val="28"/>
        </w:rPr>
        <w:t>0</w:t>
      </w:r>
      <w:r w:rsidR="00F042BC" w:rsidRPr="00325736">
        <w:rPr>
          <w:sz w:val="28"/>
        </w:rPr>
        <w:t>/1</w:t>
      </w:r>
      <w:r w:rsidRPr="00325736">
        <w:rPr>
          <w:sz w:val="28"/>
        </w:rPr>
        <w:t>1</w:t>
      </w:r>
      <w:r w:rsidR="00F042BC" w:rsidRPr="00325736">
        <w:rPr>
          <w:sz w:val="28"/>
        </w:rPr>
        <w:t>/</w:t>
      </w:r>
      <w:r w:rsidR="004A7944" w:rsidRPr="00325736">
        <w:rPr>
          <w:sz w:val="28"/>
        </w:rPr>
        <w:t>20</w:t>
      </w:r>
      <w:r w:rsidR="00983D8A" w:rsidRPr="00325736">
        <w:rPr>
          <w:sz w:val="28"/>
        </w:rPr>
        <w:t>20</w:t>
      </w:r>
      <w:r w:rsidR="004A7944" w:rsidRPr="00325736">
        <w:rPr>
          <w:sz w:val="28"/>
        </w:rPr>
        <w:t xml:space="preserve"> </w:t>
      </w:r>
      <w:r w:rsidR="00052E2B" w:rsidRPr="00325736">
        <w:rPr>
          <w:sz w:val="28"/>
        </w:rPr>
        <w:t xml:space="preserve">của </w:t>
      </w:r>
      <w:r w:rsidR="009806B8" w:rsidRPr="00325736">
        <w:rPr>
          <w:sz w:val="28"/>
        </w:rPr>
        <w:t>Ủy ban nhân dân</w:t>
      </w:r>
      <w:r w:rsidR="00052E2B" w:rsidRPr="00325736">
        <w:rPr>
          <w:sz w:val="28"/>
        </w:rPr>
        <w:t xml:space="preserve"> tỉnh về </w:t>
      </w:r>
      <w:r w:rsidR="00983D8A" w:rsidRPr="00325736">
        <w:rPr>
          <w:sz w:val="28"/>
        </w:rPr>
        <w:t>phương án phân bổ dự toán ngân sách địa phương, ngân sách cấp tỉnh năm 2021</w:t>
      </w:r>
      <w:r w:rsidR="00C8289C" w:rsidRPr="00325736">
        <w:rPr>
          <w:sz w:val="28"/>
        </w:rPr>
        <w:t xml:space="preserve">; dự thảo nghị quyết và </w:t>
      </w:r>
      <w:r w:rsidR="007E06BC" w:rsidRPr="00325736">
        <w:rPr>
          <w:sz w:val="28"/>
        </w:rPr>
        <w:t>hồ sơ trình thẩm tra kèm theo</w:t>
      </w:r>
      <w:r w:rsidR="00AA05D2" w:rsidRPr="00325736">
        <w:rPr>
          <w:sz w:val="28"/>
        </w:rPr>
        <w:t xml:space="preserve">. </w:t>
      </w:r>
      <w:r w:rsidRPr="00325736">
        <w:rPr>
          <w:sz w:val="28"/>
          <w:szCs w:val="28"/>
        </w:rPr>
        <w:t>Ban Kinh tế - Ngân sách đã tổ chức phiên họp toàn thể thẩm tra nội dung trên</w:t>
      </w:r>
      <w:r w:rsidR="00112D2D" w:rsidRPr="00325736">
        <w:rPr>
          <w:sz w:val="28"/>
          <w:szCs w:val="28"/>
        </w:rPr>
        <w:t>. Tham dự cuộc họp có lãnh đạo các Ban Hội đồng nhân dân tỉnh; đại diện Ủy ban nhân dân tỉnh và các sở, ngành liên quan. Ban Kinh tế - Ngân sách báo cáo kết quả thẩm tra như sau:</w:t>
      </w:r>
    </w:p>
    <w:p w:rsidR="00C8000F" w:rsidRPr="00325736" w:rsidRDefault="002C5BF4" w:rsidP="00325736">
      <w:pPr>
        <w:spacing w:before="120" w:after="120"/>
        <w:ind w:firstLine="709"/>
        <w:jc w:val="both"/>
        <w:rPr>
          <w:b/>
          <w:sz w:val="28"/>
        </w:rPr>
      </w:pPr>
      <w:r w:rsidRPr="00325736">
        <w:rPr>
          <w:b/>
          <w:sz w:val="28"/>
        </w:rPr>
        <w:tab/>
        <w:t xml:space="preserve">1. </w:t>
      </w:r>
      <w:r w:rsidR="006B60F2" w:rsidRPr="00325736">
        <w:rPr>
          <w:b/>
          <w:sz w:val="28"/>
        </w:rPr>
        <w:t>T</w:t>
      </w:r>
      <w:r w:rsidR="0058551B" w:rsidRPr="00325736">
        <w:rPr>
          <w:b/>
          <w:sz w:val="28"/>
        </w:rPr>
        <w:t xml:space="preserve">ình hình thực hiện </w:t>
      </w:r>
      <w:r w:rsidR="006B60F2" w:rsidRPr="00325736">
        <w:rPr>
          <w:b/>
          <w:sz w:val="28"/>
        </w:rPr>
        <w:t xml:space="preserve">nhiệm vụ thu, chi </w:t>
      </w:r>
      <w:r w:rsidR="00C8000F" w:rsidRPr="00325736">
        <w:rPr>
          <w:b/>
          <w:sz w:val="28"/>
        </w:rPr>
        <w:t>ngân sách năm 20</w:t>
      </w:r>
      <w:r w:rsidR="00983D8A" w:rsidRPr="00325736">
        <w:rPr>
          <w:b/>
          <w:sz w:val="28"/>
        </w:rPr>
        <w:t>20</w:t>
      </w:r>
    </w:p>
    <w:p w:rsidR="00976997" w:rsidRPr="00325736" w:rsidRDefault="00E80F20" w:rsidP="00325736">
      <w:pPr>
        <w:spacing w:before="120" w:after="120"/>
        <w:ind w:firstLine="709"/>
        <w:jc w:val="both"/>
        <w:rPr>
          <w:sz w:val="28"/>
        </w:rPr>
      </w:pPr>
      <w:r w:rsidRPr="00325736">
        <w:rPr>
          <w:b/>
          <w:sz w:val="28"/>
        </w:rPr>
        <w:tab/>
      </w:r>
      <w:r w:rsidR="002C5BF4" w:rsidRPr="00325736">
        <w:rPr>
          <w:b/>
          <w:sz w:val="28"/>
        </w:rPr>
        <w:t>1.</w:t>
      </w:r>
      <w:r w:rsidRPr="00325736">
        <w:rPr>
          <w:b/>
          <w:sz w:val="28"/>
        </w:rPr>
        <w:t xml:space="preserve">1. </w:t>
      </w:r>
      <w:r w:rsidR="00976997" w:rsidRPr="00325736">
        <w:rPr>
          <w:b/>
          <w:sz w:val="28"/>
        </w:rPr>
        <w:t>Về</w:t>
      </w:r>
      <w:r w:rsidR="000A60FD" w:rsidRPr="00325736">
        <w:rPr>
          <w:b/>
          <w:sz w:val="28"/>
        </w:rPr>
        <w:t xml:space="preserve"> </w:t>
      </w:r>
      <w:r w:rsidR="0092539C" w:rsidRPr="00325736">
        <w:rPr>
          <w:b/>
          <w:sz w:val="28"/>
        </w:rPr>
        <w:t xml:space="preserve">tình hình </w:t>
      </w:r>
      <w:r w:rsidR="000A60FD" w:rsidRPr="00325736">
        <w:rPr>
          <w:b/>
          <w:sz w:val="28"/>
        </w:rPr>
        <w:t>thu</w:t>
      </w:r>
      <w:r w:rsidR="00976997" w:rsidRPr="00325736">
        <w:rPr>
          <w:b/>
          <w:sz w:val="28"/>
        </w:rPr>
        <w:t xml:space="preserve"> </w:t>
      </w:r>
      <w:r w:rsidR="00FF27E8" w:rsidRPr="00325736">
        <w:rPr>
          <w:b/>
          <w:sz w:val="28"/>
        </w:rPr>
        <w:t>n</w:t>
      </w:r>
      <w:r w:rsidR="0089721C" w:rsidRPr="00325736">
        <w:rPr>
          <w:b/>
          <w:sz w:val="28"/>
        </w:rPr>
        <w:t xml:space="preserve">gân sách </w:t>
      </w:r>
      <w:r w:rsidR="00A1171D" w:rsidRPr="00325736">
        <w:rPr>
          <w:b/>
          <w:sz w:val="28"/>
        </w:rPr>
        <w:t>n</w:t>
      </w:r>
      <w:r w:rsidR="0089721C" w:rsidRPr="00325736">
        <w:rPr>
          <w:b/>
          <w:sz w:val="28"/>
        </w:rPr>
        <w:t xml:space="preserve">hà nước </w:t>
      </w:r>
    </w:p>
    <w:p w:rsidR="009818DE" w:rsidRPr="00325736" w:rsidRDefault="00E65FDA" w:rsidP="00325736">
      <w:pPr>
        <w:spacing w:before="120" w:after="120"/>
        <w:ind w:firstLine="709"/>
        <w:jc w:val="both"/>
        <w:rPr>
          <w:sz w:val="28"/>
          <w:szCs w:val="28"/>
        </w:rPr>
      </w:pPr>
      <w:r w:rsidRPr="00325736">
        <w:rPr>
          <w:sz w:val="28"/>
          <w:szCs w:val="28"/>
          <w:lang w:val="nl-NL"/>
        </w:rPr>
        <w:t xml:space="preserve">Dự toán thu </w:t>
      </w:r>
      <w:r w:rsidR="000D6F82" w:rsidRPr="00325736">
        <w:rPr>
          <w:sz w:val="28"/>
          <w:szCs w:val="28"/>
        </w:rPr>
        <w:t xml:space="preserve">ngân sách nhà nước </w:t>
      </w:r>
      <w:r w:rsidR="00E76142" w:rsidRPr="00325736">
        <w:rPr>
          <w:sz w:val="28"/>
          <w:szCs w:val="28"/>
          <w:lang w:val="nl-NL"/>
        </w:rPr>
        <w:t xml:space="preserve">trên địa bàn </w:t>
      </w:r>
      <w:r w:rsidRPr="00325736">
        <w:rPr>
          <w:sz w:val="28"/>
          <w:szCs w:val="28"/>
          <w:lang w:val="nl-NL"/>
        </w:rPr>
        <w:t>năm 20</w:t>
      </w:r>
      <w:r w:rsidR="00983D8A" w:rsidRPr="00325736">
        <w:rPr>
          <w:sz w:val="28"/>
          <w:szCs w:val="28"/>
          <w:lang w:val="nl-NL"/>
        </w:rPr>
        <w:t>20</w:t>
      </w:r>
      <w:r w:rsidRPr="00325736">
        <w:rPr>
          <w:sz w:val="28"/>
          <w:szCs w:val="28"/>
          <w:lang w:val="nl-NL"/>
        </w:rPr>
        <w:t xml:space="preserve"> Hội đồng nhân dân tỉnh giao </w:t>
      </w:r>
      <w:r w:rsidR="000D6F82" w:rsidRPr="00325736">
        <w:rPr>
          <w:sz w:val="28"/>
          <w:szCs w:val="28"/>
        </w:rPr>
        <w:t>3.505</w:t>
      </w:r>
      <w:r w:rsidR="000D6F82" w:rsidRPr="00325736">
        <w:rPr>
          <w:sz w:val="28"/>
          <w:szCs w:val="28"/>
          <w:lang w:val="nl-NL"/>
        </w:rPr>
        <w:t>.000</w:t>
      </w:r>
      <w:r w:rsidR="000D6F82" w:rsidRPr="00325736">
        <w:rPr>
          <w:sz w:val="28"/>
          <w:szCs w:val="28"/>
          <w:lang w:val="am-ET"/>
        </w:rPr>
        <w:t xml:space="preserve"> </w:t>
      </w:r>
      <w:r w:rsidR="00E76142" w:rsidRPr="00325736">
        <w:rPr>
          <w:sz w:val="28"/>
          <w:szCs w:val="28"/>
          <w:lang w:val="am-ET"/>
        </w:rPr>
        <w:t>triệu</w:t>
      </w:r>
      <w:r w:rsidR="00E76142" w:rsidRPr="00325736">
        <w:rPr>
          <w:sz w:val="28"/>
          <w:szCs w:val="28"/>
        </w:rPr>
        <w:t xml:space="preserve"> </w:t>
      </w:r>
      <w:r w:rsidR="00E76142" w:rsidRPr="00325736">
        <w:rPr>
          <w:sz w:val="28"/>
          <w:szCs w:val="28"/>
          <w:lang w:val="am-ET"/>
        </w:rPr>
        <w:t>đồng</w:t>
      </w:r>
      <w:r w:rsidRPr="00325736">
        <w:rPr>
          <w:sz w:val="28"/>
          <w:szCs w:val="28"/>
          <w:lang w:val="nl-NL"/>
        </w:rPr>
        <w:t xml:space="preserve">, </w:t>
      </w:r>
      <w:r w:rsidR="00E76142" w:rsidRPr="00325736">
        <w:rPr>
          <w:sz w:val="28"/>
          <w:szCs w:val="28"/>
          <w:lang w:val="am-ET"/>
        </w:rPr>
        <w:t xml:space="preserve">ước thực hiện </w:t>
      </w:r>
      <w:r w:rsidR="00E76142" w:rsidRPr="00325736">
        <w:rPr>
          <w:sz w:val="28"/>
          <w:szCs w:val="28"/>
        </w:rPr>
        <w:t xml:space="preserve">cả năm thu </w:t>
      </w:r>
      <w:r w:rsidR="000D6F82" w:rsidRPr="00325736">
        <w:rPr>
          <w:sz w:val="28"/>
          <w:szCs w:val="28"/>
        </w:rPr>
        <w:t xml:space="preserve">3.000.000 </w:t>
      </w:r>
      <w:r w:rsidR="00E76142" w:rsidRPr="00325736">
        <w:rPr>
          <w:sz w:val="28"/>
          <w:szCs w:val="28"/>
          <w:lang w:val="am-ET"/>
        </w:rPr>
        <w:t>triệu đồng</w:t>
      </w:r>
      <w:r w:rsidR="00E76142" w:rsidRPr="00325736">
        <w:rPr>
          <w:sz w:val="28"/>
          <w:szCs w:val="28"/>
        </w:rPr>
        <w:t>,</w:t>
      </w:r>
      <w:r w:rsidR="00E76142" w:rsidRPr="00325736">
        <w:rPr>
          <w:sz w:val="28"/>
          <w:szCs w:val="28"/>
          <w:lang w:val="am-ET"/>
        </w:rPr>
        <w:t xml:space="preserve"> </w:t>
      </w:r>
      <w:r w:rsidR="000D6F82" w:rsidRPr="00325736">
        <w:rPr>
          <w:sz w:val="28"/>
          <w:szCs w:val="28"/>
          <w:lang w:val="am-ET"/>
        </w:rPr>
        <w:t>đạt 85,6% dự toán và bằng 92,5% so với cùng kỳ</w:t>
      </w:r>
      <w:r w:rsidR="000D6F82" w:rsidRPr="00325736">
        <w:rPr>
          <w:sz w:val="28"/>
          <w:szCs w:val="28"/>
        </w:rPr>
        <w:t xml:space="preserve"> năm </w:t>
      </w:r>
      <w:r w:rsidR="000D6F82" w:rsidRPr="00325736">
        <w:rPr>
          <w:sz w:val="28"/>
          <w:szCs w:val="28"/>
          <w:lang w:val="nl-NL"/>
        </w:rPr>
        <w:t>trước.</w:t>
      </w:r>
      <w:r w:rsidR="000D6F82" w:rsidRPr="00325736">
        <w:rPr>
          <w:sz w:val="28"/>
        </w:rPr>
        <w:t xml:space="preserve"> </w:t>
      </w:r>
      <w:r w:rsidR="005F57CC" w:rsidRPr="00325736">
        <w:rPr>
          <w:sz w:val="28"/>
        </w:rPr>
        <w:t xml:space="preserve">Trong đó: </w:t>
      </w:r>
      <w:r w:rsidR="00732489" w:rsidRPr="00325736">
        <w:rPr>
          <w:sz w:val="28"/>
        </w:rPr>
        <w:t xml:space="preserve">Thu nội địa </w:t>
      </w:r>
      <w:r w:rsidR="00151A66" w:rsidRPr="00325736">
        <w:rPr>
          <w:sz w:val="28"/>
          <w:szCs w:val="28"/>
        </w:rPr>
        <w:t xml:space="preserve">ước thực hiện cả năm thu </w:t>
      </w:r>
      <w:r w:rsidR="000D6F82" w:rsidRPr="00325736">
        <w:rPr>
          <w:sz w:val="28"/>
          <w:szCs w:val="28"/>
        </w:rPr>
        <w:t xml:space="preserve">2.754.000 </w:t>
      </w:r>
      <w:r w:rsidR="000D6F82" w:rsidRPr="00325736">
        <w:rPr>
          <w:sz w:val="28"/>
          <w:szCs w:val="28"/>
          <w:lang w:val="am-ET"/>
        </w:rPr>
        <w:t>triệu đồng</w:t>
      </w:r>
      <w:r w:rsidR="000D6F82" w:rsidRPr="00325736">
        <w:rPr>
          <w:sz w:val="28"/>
          <w:szCs w:val="28"/>
        </w:rPr>
        <w:t>,</w:t>
      </w:r>
      <w:r w:rsidR="000D6F82" w:rsidRPr="00325736">
        <w:rPr>
          <w:sz w:val="28"/>
          <w:szCs w:val="28"/>
          <w:lang w:val="am-ET"/>
        </w:rPr>
        <w:t xml:space="preserve"> đạt 85,1% dự toán, bằng 92,3% so cùng kỳ</w:t>
      </w:r>
      <w:r w:rsidR="000D6F82" w:rsidRPr="00325736">
        <w:rPr>
          <w:sz w:val="28"/>
          <w:szCs w:val="28"/>
        </w:rPr>
        <w:t xml:space="preserve"> năm trước</w:t>
      </w:r>
      <w:r w:rsidR="004D2966" w:rsidRPr="00325736">
        <w:rPr>
          <w:sz w:val="28"/>
        </w:rPr>
        <w:t xml:space="preserve"> (t</w:t>
      </w:r>
      <w:r w:rsidR="003E7460" w:rsidRPr="00325736">
        <w:rPr>
          <w:sz w:val="28"/>
        </w:rPr>
        <w:t xml:space="preserve">ính đến tháng 10/2020, </w:t>
      </w:r>
      <w:r w:rsidR="003E7460" w:rsidRPr="00325736">
        <w:rPr>
          <w:sz w:val="28"/>
          <w:szCs w:val="28"/>
          <w:lang w:val="am-ET"/>
        </w:rPr>
        <w:t>một số lĩnh vực có số thu lớn</w:t>
      </w:r>
      <w:r w:rsidR="003E7460" w:rsidRPr="00325736">
        <w:rPr>
          <w:sz w:val="28"/>
          <w:szCs w:val="28"/>
        </w:rPr>
        <w:t xml:space="preserve"> chưa đạt dự toán giao đầu năm</w:t>
      </w:r>
      <w:r w:rsidR="000D22CB" w:rsidRPr="00325736">
        <w:rPr>
          <w:sz w:val="28"/>
          <w:szCs w:val="28"/>
          <w:vertAlign w:val="superscript"/>
        </w:rPr>
        <w:t>(</w:t>
      </w:r>
      <w:r w:rsidR="000D22CB" w:rsidRPr="00325736">
        <w:rPr>
          <w:rStyle w:val="FootnoteReference"/>
          <w:sz w:val="28"/>
          <w:szCs w:val="28"/>
          <w:lang w:val="en-US"/>
        </w:rPr>
        <w:footnoteReference w:id="2"/>
      </w:r>
      <w:r w:rsidR="000D22CB" w:rsidRPr="00325736">
        <w:rPr>
          <w:sz w:val="28"/>
          <w:szCs w:val="28"/>
          <w:vertAlign w:val="superscript"/>
        </w:rPr>
        <w:t>)</w:t>
      </w:r>
      <w:r w:rsidR="004D2966" w:rsidRPr="00325736">
        <w:rPr>
          <w:sz w:val="28"/>
          <w:szCs w:val="28"/>
        </w:rPr>
        <w:t>)</w:t>
      </w:r>
      <w:r w:rsidR="000D22CB" w:rsidRPr="00325736">
        <w:rPr>
          <w:sz w:val="28"/>
          <w:szCs w:val="28"/>
        </w:rPr>
        <w:t xml:space="preserve">. </w:t>
      </w:r>
      <w:r w:rsidR="009818DE" w:rsidRPr="00325736">
        <w:rPr>
          <w:sz w:val="28"/>
          <w:szCs w:val="28"/>
        </w:rPr>
        <w:t>Theo báo cáo đánh giá của Ủy ban nhân dân tỉnh</w:t>
      </w:r>
      <w:r w:rsidR="000A1DB9" w:rsidRPr="00325736">
        <w:rPr>
          <w:sz w:val="28"/>
          <w:szCs w:val="28"/>
        </w:rPr>
        <w:t>, đối với t</w:t>
      </w:r>
      <w:r w:rsidR="009818DE" w:rsidRPr="00325736">
        <w:rPr>
          <w:sz w:val="28"/>
          <w:szCs w:val="28"/>
        </w:rPr>
        <w:t xml:space="preserve">ình hình thực hiện </w:t>
      </w:r>
      <w:r w:rsidR="000A1DB9" w:rsidRPr="00325736">
        <w:rPr>
          <w:sz w:val="28"/>
          <w:szCs w:val="28"/>
        </w:rPr>
        <w:t>t</w:t>
      </w:r>
      <w:r w:rsidR="009818DE" w:rsidRPr="00325736">
        <w:rPr>
          <w:sz w:val="28"/>
          <w:szCs w:val="28"/>
        </w:rPr>
        <w:t>hu nội địa ngân sách địa phương được hưởng theo phân cấp, ước thực hiện cả năm thu 2.532.000 triệu đồng, đạt 84,6% dự toán.</w:t>
      </w:r>
      <w:r w:rsidR="009818DE" w:rsidRPr="00325736">
        <w:rPr>
          <w:sz w:val="28"/>
          <w:szCs w:val="28"/>
          <w:shd w:val="clear" w:color="auto" w:fill="FFFFFF"/>
        </w:rPr>
        <w:t xml:space="preserve"> Dự kiến hụt thu </w:t>
      </w:r>
      <w:r w:rsidR="009818DE" w:rsidRPr="00325736">
        <w:rPr>
          <w:sz w:val="28"/>
          <w:szCs w:val="28"/>
        </w:rPr>
        <w:t xml:space="preserve">ngân sách địa phương </w:t>
      </w:r>
      <w:r w:rsidR="009818DE" w:rsidRPr="00325736">
        <w:rPr>
          <w:sz w:val="28"/>
          <w:szCs w:val="28"/>
          <w:shd w:val="clear" w:color="auto" w:fill="FFFFFF"/>
        </w:rPr>
        <w:t xml:space="preserve">được hưởng theo tiến độ dự toán </w:t>
      </w:r>
      <w:r w:rsidR="000A1DB9" w:rsidRPr="00325736">
        <w:rPr>
          <w:sz w:val="28"/>
          <w:szCs w:val="28"/>
          <w:shd w:val="clear" w:color="auto" w:fill="FFFFFF"/>
        </w:rPr>
        <w:t>khoảng 35.000 triệu đồng</w:t>
      </w:r>
      <w:r w:rsidR="000A1DB9" w:rsidRPr="00325736">
        <w:rPr>
          <w:sz w:val="28"/>
          <w:szCs w:val="28"/>
          <w:shd w:val="clear" w:color="auto" w:fill="FFFFFF"/>
          <w:vertAlign w:val="superscript"/>
        </w:rPr>
        <w:t>(</w:t>
      </w:r>
      <w:r w:rsidR="000A1DB9" w:rsidRPr="00325736">
        <w:rPr>
          <w:rStyle w:val="FootnoteReference"/>
          <w:sz w:val="28"/>
          <w:szCs w:val="28"/>
          <w:shd w:val="clear" w:color="auto" w:fill="FFFFFF"/>
        </w:rPr>
        <w:footnoteReference w:id="3"/>
      </w:r>
      <w:r w:rsidR="000A1DB9" w:rsidRPr="00325736">
        <w:rPr>
          <w:sz w:val="28"/>
          <w:szCs w:val="28"/>
          <w:shd w:val="clear" w:color="auto" w:fill="FFFFFF"/>
          <w:vertAlign w:val="superscript"/>
        </w:rPr>
        <w:t>)</w:t>
      </w:r>
      <w:r w:rsidR="000A1DB9" w:rsidRPr="00325736">
        <w:rPr>
          <w:sz w:val="28"/>
          <w:szCs w:val="28"/>
          <w:shd w:val="clear" w:color="auto" w:fill="FFFFFF"/>
        </w:rPr>
        <w:t xml:space="preserve"> </w:t>
      </w:r>
      <w:r w:rsidR="009818DE" w:rsidRPr="00325736">
        <w:rPr>
          <w:sz w:val="28"/>
          <w:szCs w:val="28"/>
          <w:shd w:val="clear" w:color="auto" w:fill="FFFFFF"/>
        </w:rPr>
        <w:t>(sau khi loại trừ thu tiền sử dụng đất, xổ số kiến thiết).</w:t>
      </w:r>
    </w:p>
    <w:p w:rsidR="006E61F3" w:rsidRPr="00325736" w:rsidRDefault="00D14A9F" w:rsidP="00325736">
      <w:pPr>
        <w:spacing w:before="120" w:after="120"/>
        <w:ind w:firstLine="709"/>
        <w:jc w:val="both"/>
        <w:rPr>
          <w:sz w:val="28"/>
          <w:szCs w:val="28"/>
          <w:lang w:val="nl-NL"/>
        </w:rPr>
      </w:pPr>
      <w:r w:rsidRPr="00325736">
        <w:rPr>
          <w:sz w:val="28"/>
          <w:szCs w:val="28"/>
        </w:rPr>
        <w:t xml:space="preserve">Về tình hình thu hồi nợ đọng thuế và xử lý nợ thuế: </w:t>
      </w:r>
      <w:r w:rsidR="006F20EB" w:rsidRPr="00325736">
        <w:rPr>
          <w:sz w:val="28"/>
          <w:szCs w:val="28"/>
        </w:rPr>
        <w:t xml:space="preserve">Tính đến </w:t>
      </w:r>
      <w:r w:rsidR="00880F34" w:rsidRPr="00325736">
        <w:rPr>
          <w:sz w:val="28"/>
          <w:szCs w:val="28"/>
        </w:rPr>
        <w:t>ngày</w:t>
      </w:r>
      <w:r w:rsidR="006168E7" w:rsidRPr="00325736">
        <w:rPr>
          <w:sz w:val="28"/>
          <w:szCs w:val="28"/>
        </w:rPr>
        <w:t xml:space="preserve"> </w:t>
      </w:r>
      <w:r w:rsidR="00790C91" w:rsidRPr="00325736">
        <w:rPr>
          <w:sz w:val="28"/>
          <w:szCs w:val="28"/>
        </w:rPr>
        <w:t>30/9</w:t>
      </w:r>
      <w:r w:rsidR="006168E7" w:rsidRPr="00325736">
        <w:rPr>
          <w:sz w:val="28"/>
          <w:szCs w:val="28"/>
        </w:rPr>
        <w:t>/20</w:t>
      </w:r>
      <w:r w:rsidR="00983D8A" w:rsidRPr="00325736">
        <w:rPr>
          <w:sz w:val="28"/>
          <w:szCs w:val="28"/>
        </w:rPr>
        <w:t>20</w:t>
      </w:r>
      <w:r w:rsidR="00FF5996" w:rsidRPr="00325736">
        <w:rPr>
          <w:sz w:val="28"/>
          <w:szCs w:val="28"/>
        </w:rPr>
        <w:t xml:space="preserve">, </w:t>
      </w:r>
      <w:r w:rsidR="008335F3" w:rsidRPr="00325736">
        <w:rPr>
          <w:sz w:val="28"/>
          <w:szCs w:val="28"/>
          <w:lang w:val="nl-NL"/>
        </w:rPr>
        <w:t xml:space="preserve">tổng số nợ thuế </w:t>
      </w:r>
      <w:r w:rsidR="009818DE" w:rsidRPr="00325736">
        <w:rPr>
          <w:spacing w:val="-2"/>
          <w:sz w:val="28"/>
          <w:szCs w:val="28"/>
          <w:lang w:val="nl-NL"/>
        </w:rPr>
        <w:t xml:space="preserve">276.679 </w:t>
      </w:r>
      <w:r w:rsidR="006168E7" w:rsidRPr="00325736">
        <w:rPr>
          <w:sz w:val="28"/>
          <w:szCs w:val="28"/>
          <w:lang w:val="nl-NL"/>
        </w:rPr>
        <w:t>triệu đồng</w:t>
      </w:r>
      <w:r w:rsidR="00372FF5" w:rsidRPr="00325736">
        <w:rPr>
          <w:sz w:val="28"/>
          <w:szCs w:val="28"/>
          <w:lang w:val="nl-NL"/>
        </w:rPr>
        <w:t xml:space="preserve">, </w:t>
      </w:r>
      <w:r w:rsidR="00372FF5" w:rsidRPr="00325736">
        <w:rPr>
          <w:spacing w:val="-2"/>
          <w:sz w:val="28"/>
          <w:szCs w:val="28"/>
          <w:lang w:val="nl-NL"/>
        </w:rPr>
        <w:t>giảm 100.939 triệu đồng (26,7%) so với tổng nợ tại thời điểm 31/12/2019</w:t>
      </w:r>
      <w:r w:rsidR="00F91373" w:rsidRPr="00325736">
        <w:rPr>
          <w:sz w:val="28"/>
          <w:szCs w:val="28"/>
          <w:lang w:val="nl-NL"/>
        </w:rPr>
        <w:t xml:space="preserve">, </w:t>
      </w:r>
      <w:r w:rsidR="008726A8" w:rsidRPr="00325736">
        <w:rPr>
          <w:sz w:val="28"/>
          <w:szCs w:val="28"/>
          <w:lang w:val="nl-NL"/>
        </w:rPr>
        <w:t xml:space="preserve">trong đó: </w:t>
      </w:r>
      <w:r w:rsidR="00AE072D" w:rsidRPr="00325736">
        <w:rPr>
          <w:sz w:val="28"/>
          <w:szCs w:val="28"/>
        </w:rPr>
        <w:t>nợ có khả năng thu là 51.000 triệu đồng, nợ khó thu là 287.000 triệu đồng</w:t>
      </w:r>
      <w:r w:rsidR="008726A8" w:rsidRPr="00325736">
        <w:rPr>
          <w:sz w:val="28"/>
          <w:szCs w:val="28"/>
          <w:lang w:val="nl-NL"/>
        </w:rPr>
        <w:t xml:space="preserve">. </w:t>
      </w:r>
      <w:r w:rsidR="00F91373" w:rsidRPr="00325736">
        <w:rPr>
          <w:spacing w:val="-2"/>
          <w:sz w:val="28"/>
          <w:szCs w:val="28"/>
          <w:lang w:val="nl-NL"/>
        </w:rPr>
        <w:t>T</w:t>
      </w:r>
      <w:r w:rsidR="00935BDD" w:rsidRPr="00325736">
        <w:rPr>
          <w:spacing w:val="-2"/>
          <w:sz w:val="28"/>
          <w:szCs w:val="28"/>
          <w:lang w:val="nl-NL"/>
        </w:rPr>
        <w:t>ỷ</w:t>
      </w:r>
      <w:r w:rsidR="00F91373" w:rsidRPr="00325736">
        <w:rPr>
          <w:spacing w:val="-2"/>
          <w:sz w:val="28"/>
          <w:szCs w:val="28"/>
          <w:lang w:val="nl-NL"/>
        </w:rPr>
        <w:t xml:space="preserve"> lệ nợ </w:t>
      </w:r>
      <w:r w:rsidR="006E61F3" w:rsidRPr="00325736">
        <w:rPr>
          <w:spacing w:val="-2"/>
          <w:sz w:val="28"/>
          <w:szCs w:val="28"/>
          <w:lang w:val="nl-NL"/>
        </w:rPr>
        <w:t xml:space="preserve">đọng thuế </w:t>
      </w:r>
      <w:r w:rsidR="00F91373" w:rsidRPr="00325736">
        <w:rPr>
          <w:spacing w:val="-2"/>
          <w:sz w:val="28"/>
          <w:szCs w:val="28"/>
          <w:lang w:val="nl-NL"/>
        </w:rPr>
        <w:t xml:space="preserve">có khả năng thu là 2,5% </w:t>
      </w:r>
      <w:r w:rsidR="006E61F3" w:rsidRPr="00325736">
        <w:rPr>
          <w:spacing w:val="-2"/>
          <w:sz w:val="28"/>
          <w:szCs w:val="28"/>
          <w:lang w:val="nl-NL"/>
        </w:rPr>
        <w:t>dưới mức tỷ lệ 5% tổng thu ngân sách nhà nước trên địa bàn năm 2020. Về k</w:t>
      </w:r>
      <w:r w:rsidR="006E61F3" w:rsidRPr="00325736">
        <w:rPr>
          <w:sz w:val="28"/>
          <w:szCs w:val="28"/>
          <w:lang w:val="nl-NL"/>
        </w:rPr>
        <w:t>ết quả xử lý nợ thuế theo Nghị quyết số 94/2019/QH14 của Quốc hội, tổng số tiền thuế, tiền phạt và tiền chậm nộp của người nộp thuế không còn khả năng thu nộp ngân sách nhà nước phát sinh trước ngày 01/7/2020 phải xử lý là 303.322 triệu đồng, trong đó: Tiền nợ thuế thuộc đối tượng khoanh 135.668 triệu đồng</w:t>
      </w:r>
      <w:r w:rsidR="006E61F3" w:rsidRPr="00325736">
        <w:rPr>
          <w:sz w:val="28"/>
          <w:szCs w:val="28"/>
          <w:vertAlign w:val="superscript"/>
          <w:lang w:val="nl-NL"/>
        </w:rPr>
        <w:t>(</w:t>
      </w:r>
      <w:r w:rsidR="006E61F3" w:rsidRPr="00325736">
        <w:rPr>
          <w:rStyle w:val="FootnoteReference"/>
          <w:sz w:val="28"/>
          <w:szCs w:val="28"/>
          <w:lang w:val="nl-NL"/>
        </w:rPr>
        <w:footnoteReference w:id="4"/>
      </w:r>
      <w:r w:rsidR="006E61F3" w:rsidRPr="00325736">
        <w:rPr>
          <w:sz w:val="28"/>
          <w:szCs w:val="28"/>
          <w:vertAlign w:val="superscript"/>
          <w:lang w:val="nl-NL"/>
        </w:rPr>
        <w:t>)</w:t>
      </w:r>
      <w:r w:rsidR="006E61F3" w:rsidRPr="00325736">
        <w:rPr>
          <w:sz w:val="28"/>
          <w:szCs w:val="28"/>
          <w:lang w:val="nl-NL"/>
        </w:rPr>
        <w:t xml:space="preserve">, tiền chậm nộp thuộc đối tượng xóa là 168.654 triệu đồng. </w:t>
      </w:r>
    </w:p>
    <w:p w:rsidR="00F30763" w:rsidRPr="00325736" w:rsidRDefault="000403F1" w:rsidP="00325736">
      <w:pPr>
        <w:spacing w:before="120" w:after="120"/>
        <w:ind w:firstLine="709"/>
        <w:jc w:val="both"/>
        <w:rPr>
          <w:spacing w:val="-2"/>
          <w:sz w:val="28"/>
          <w:szCs w:val="28"/>
          <w:lang w:val="nl-NL"/>
        </w:rPr>
      </w:pPr>
      <w:r w:rsidRPr="00325736">
        <w:rPr>
          <w:sz w:val="28"/>
          <w:szCs w:val="28"/>
          <w:lang w:val="nl-NL"/>
        </w:rPr>
        <w:t>Ban Kinh tế - Ngân sách nhận thấy</w:t>
      </w:r>
      <w:r w:rsidR="006E61F3" w:rsidRPr="00325736">
        <w:rPr>
          <w:sz w:val="28"/>
          <w:szCs w:val="28"/>
          <w:lang w:val="nl-NL"/>
        </w:rPr>
        <w:t>,</w:t>
      </w:r>
      <w:r w:rsidR="00AE1C92" w:rsidRPr="00325736">
        <w:rPr>
          <w:sz w:val="28"/>
          <w:szCs w:val="28"/>
          <w:lang w:val="nl-NL"/>
        </w:rPr>
        <w:t xml:space="preserve"> </w:t>
      </w:r>
      <w:r w:rsidR="00F30763" w:rsidRPr="00325736">
        <w:rPr>
          <w:sz w:val="28"/>
          <w:szCs w:val="28"/>
          <w:lang w:val="nl-NL"/>
        </w:rPr>
        <w:t>tình hình thu ngân sách nhà nước trên địa bàn năm 2020 gặp nhiều khó khăn</w:t>
      </w:r>
      <w:r w:rsidR="004175D4" w:rsidRPr="00325736">
        <w:rPr>
          <w:sz w:val="28"/>
          <w:szCs w:val="28"/>
          <w:vertAlign w:val="superscript"/>
          <w:lang w:val="nl-NL"/>
        </w:rPr>
        <w:t>(</w:t>
      </w:r>
      <w:r w:rsidR="004175D4" w:rsidRPr="00325736">
        <w:rPr>
          <w:rStyle w:val="FootnoteReference"/>
          <w:sz w:val="28"/>
          <w:szCs w:val="28"/>
          <w:lang w:val="nl-NL"/>
        </w:rPr>
        <w:footnoteReference w:id="5"/>
      </w:r>
      <w:r w:rsidR="004175D4" w:rsidRPr="00325736">
        <w:rPr>
          <w:sz w:val="28"/>
          <w:szCs w:val="28"/>
          <w:vertAlign w:val="superscript"/>
          <w:lang w:val="nl-NL"/>
        </w:rPr>
        <w:t>)</w:t>
      </w:r>
      <w:r w:rsidR="00F30763" w:rsidRPr="00325736">
        <w:rPr>
          <w:sz w:val="28"/>
          <w:szCs w:val="28"/>
          <w:lang w:val="nl-NL"/>
        </w:rPr>
        <w:t xml:space="preserve">, </w:t>
      </w:r>
      <w:r w:rsidR="006E61F3" w:rsidRPr="00325736">
        <w:rPr>
          <w:sz w:val="28"/>
          <w:szCs w:val="28"/>
          <w:lang w:val="nl-NL"/>
        </w:rPr>
        <w:t>trong bối cảnh ước thực hiện</w:t>
      </w:r>
      <w:r w:rsidR="00F30763" w:rsidRPr="00325736">
        <w:rPr>
          <w:sz w:val="28"/>
          <w:szCs w:val="28"/>
          <w:lang w:val="nl-NL"/>
        </w:rPr>
        <w:t xml:space="preserve"> thu ngân sách</w:t>
      </w:r>
      <w:r w:rsidR="006E61F3" w:rsidRPr="00325736">
        <w:rPr>
          <w:sz w:val="28"/>
          <w:szCs w:val="28"/>
          <w:lang w:val="nl-NL"/>
        </w:rPr>
        <w:t xml:space="preserve"> cả năm </w:t>
      </w:r>
      <w:r w:rsidR="00F30763" w:rsidRPr="00325736">
        <w:rPr>
          <w:sz w:val="28"/>
          <w:szCs w:val="28"/>
          <w:lang w:val="nl-NL"/>
        </w:rPr>
        <w:t>không đạt dự toán Hội đồng nhân dân tỉnh giao, ngân sách vẫn phải tăng chi phòng chống thiên tai, dịch bệnh và hỗ trợ thêm về an sinh xã hội...</w:t>
      </w:r>
      <w:r w:rsidR="00935BDD" w:rsidRPr="00325736">
        <w:rPr>
          <w:sz w:val="28"/>
          <w:szCs w:val="28"/>
          <w:lang w:val="nl-NL"/>
        </w:rPr>
        <w:t xml:space="preserve"> Về công tác quản lý, xử lý nợ thuế: </w:t>
      </w:r>
      <w:r w:rsidR="00F331D7" w:rsidRPr="00325736">
        <w:rPr>
          <w:spacing w:val="-2"/>
          <w:sz w:val="28"/>
          <w:szCs w:val="28"/>
          <w:lang w:val="nl-NL"/>
        </w:rPr>
        <w:t>t</w:t>
      </w:r>
      <w:r w:rsidR="00935BDD" w:rsidRPr="00325736">
        <w:rPr>
          <w:spacing w:val="-2"/>
          <w:sz w:val="28"/>
          <w:szCs w:val="28"/>
          <w:lang w:val="nl-NL"/>
        </w:rPr>
        <w:t xml:space="preserve">ỷ lệ nợ đọng thuế có khả năng thu nằm ở mức an toàn; Ủy ban nhân dân tỉnh đã báo cáo về kết quả xử lý nợ thuế theo quy định </w:t>
      </w:r>
      <w:r w:rsidR="00F331D7" w:rsidRPr="00325736">
        <w:rPr>
          <w:spacing w:val="-2"/>
          <w:sz w:val="28"/>
          <w:szCs w:val="28"/>
          <w:lang w:val="nl-NL"/>
        </w:rPr>
        <w:t>Nghị quyết số 94/2019/QH14 của Quốc hội</w:t>
      </w:r>
      <w:r w:rsidR="004175D4" w:rsidRPr="00325736">
        <w:rPr>
          <w:spacing w:val="-2"/>
          <w:sz w:val="28"/>
          <w:szCs w:val="28"/>
          <w:vertAlign w:val="superscript"/>
          <w:lang w:val="nl-NL"/>
        </w:rPr>
        <w:t>(</w:t>
      </w:r>
      <w:r w:rsidR="004175D4" w:rsidRPr="00325736">
        <w:rPr>
          <w:rStyle w:val="FootnoteReference"/>
          <w:spacing w:val="-2"/>
          <w:sz w:val="28"/>
          <w:szCs w:val="28"/>
          <w:lang w:val="nl-NL"/>
        </w:rPr>
        <w:footnoteReference w:id="6"/>
      </w:r>
      <w:r w:rsidR="004175D4" w:rsidRPr="00325736">
        <w:rPr>
          <w:spacing w:val="-2"/>
          <w:sz w:val="28"/>
          <w:szCs w:val="28"/>
          <w:vertAlign w:val="superscript"/>
          <w:lang w:val="nl-NL"/>
        </w:rPr>
        <w:t>)</w:t>
      </w:r>
      <w:r w:rsidR="00F331D7" w:rsidRPr="00325736">
        <w:rPr>
          <w:spacing w:val="-2"/>
          <w:sz w:val="28"/>
          <w:szCs w:val="28"/>
          <w:lang w:val="nl-NL"/>
        </w:rPr>
        <w:t>.</w:t>
      </w:r>
    </w:p>
    <w:p w:rsidR="009A7DBF" w:rsidRPr="00325736" w:rsidRDefault="002C5BF4" w:rsidP="00325736">
      <w:pPr>
        <w:spacing w:before="120" w:after="120"/>
        <w:ind w:firstLine="709"/>
        <w:jc w:val="both"/>
        <w:rPr>
          <w:b/>
          <w:sz w:val="28"/>
          <w:lang w:val="nl-NL"/>
        </w:rPr>
      </w:pPr>
      <w:r w:rsidRPr="00325736">
        <w:rPr>
          <w:b/>
          <w:sz w:val="28"/>
        </w:rPr>
        <w:t>1.</w:t>
      </w:r>
      <w:r w:rsidR="009A7DBF" w:rsidRPr="00325736">
        <w:rPr>
          <w:b/>
          <w:sz w:val="28"/>
        </w:rPr>
        <w:t xml:space="preserve">2. Về tình hình chi ngân sách địa phương </w:t>
      </w:r>
      <w:r w:rsidR="00843AF9" w:rsidRPr="00325736">
        <w:rPr>
          <w:b/>
          <w:sz w:val="28"/>
          <w:lang w:val="nl-NL"/>
        </w:rPr>
        <w:t xml:space="preserve"> </w:t>
      </w:r>
    </w:p>
    <w:p w:rsidR="009A7DBF" w:rsidRPr="00325736" w:rsidRDefault="009A7DBF" w:rsidP="00325736">
      <w:pPr>
        <w:spacing w:before="120" w:after="120"/>
        <w:ind w:firstLine="709"/>
        <w:jc w:val="both"/>
        <w:rPr>
          <w:sz w:val="28"/>
          <w:lang w:val="am-ET"/>
        </w:rPr>
      </w:pPr>
      <w:r w:rsidRPr="00325736">
        <w:rPr>
          <w:sz w:val="28"/>
        </w:rPr>
        <w:t>Tổng n</w:t>
      </w:r>
      <w:r w:rsidRPr="00325736">
        <w:rPr>
          <w:sz w:val="28"/>
          <w:lang w:val="am-ET"/>
        </w:rPr>
        <w:t>hiệm vụ chi ngân sách địa phương năm 20</w:t>
      </w:r>
      <w:r w:rsidR="000D220B" w:rsidRPr="00325736">
        <w:rPr>
          <w:sz w:val="28"/>
          <w:lang w:val="nl-NL"/>
        </w:rPr>
        <w:t>20</w:t>
      </w:r>
      <w:r w:rsidRPr="00325736">
        <w:rPr>
          <w:sz w:val="28"/>
          <w:lang w:val="am-ET"/>
        </w:rPr>
        <w:t xml:space="preserve"> </w:t>
      </w:r>
      <w:r w:rsidRPr="00325736">
        <w:rPr>
          <w:sz w:val="28"/>
        </w:rPr>
        <w:t>là</w:t>
      </w:r>
      <w:r w:rsidRPr="00325736">
        <w:rPr>
          <w:i/>
          <w:sz w:val="28"/>
          <w:lang w:val="am-ET"/>
        </w:rPr>
        <w:t xml:space="preserve"> </w:t>
      </w:r>
      <w:r w:rsidR="004D2966" w:rsidRPr="00325736">
        <w:rPr>
          <w:rFonts w:eastAsia="Calibri"/>
          <w:sz w:val="28"/>
          <w:szCs w:val="28"/>
          <w:lang w:val="am-ET"/>
        </w:rPr>
        <w:t>11.065.483</w:t>
      </w:r>
      <w:r w:rsidR="004D2966" w:rsidRPr="00325736">
        <w:rPr>
          <w:rFonts w:eastAsia="Calibri"/>
          <w:sz w:val="28"/>
          <w:szCs w:val="28"/>
          <w:lang w:val="nl-NL"/>
        </w:rPr>
        <w:t xml:space="preserve"> </w:t>
      </w:r>
      <w:r w:rsidR="00F2352C" w:rsidRPr="00325736">
        <w:rPr>
          <w:rFonts w:eastAsia="Calibri"/>
          <w:sz w:val="28"/>
          <w:szCs w:val="28"/>
          <w:lang w:val="am-ET"/>
        </w:rPr>
        <w:t>triệu đồng</w:t>
      </w:r>
      <w:r w:rsidR="006F20EB" w:rsidRPr="00325736">
        <w:rPr>
          <w:sz w:val="28"/>
          <w:szCs w:val="28"/>
          <w:lang w:val="nl-NL"/>
        </w:rPr>
        <w:t xml:space="preserve">. Trong đó, </w:t>
      </w:r>
      <w:r w:rsidR="00F2352C" w:rsidRPr="00325736">
        <w:rPr>
          <w:rFonts w:eastAsia="Calibri"/>
          <w:sz w:val="28"/>
          <w:szCs w:val="28"/>
          <w:lang w:val="nl-NL"/>
        </w:rPr>
        <w:t>d</w:t>
      </w:r>
      <w:r w:rsidR="00F2352C" w:rsidRPr="00325736">
        <w:rPr>
          <w:rFonts w:eastAsia="Calibri"/>
          <w:sz w:val="28"/>
          <w:szCs w:val="28"/>
          <w:lang w:val="am-ET"/>
        </w:rPr>
        <w:t>ự toán chi ngân sách địa phương năm 20</w:t>
      </w:r>
      <w:r w:rsidR="000D220B" w:rsidRPr="00325736">
        <w:rPr>
          <w:rFonts w:eastAsia="Calibri"/>
          <w:sz w:val="28"/>
          <w:szCs w:val="28"/>
          <w:lang w:val="nl-NL"/>
        </w:rPr>
        <w:t xml:space="preserve">20 </w:t>
      </w:r>
      <w:r w:rsidR="00F2352C" w:rsidRPr="00325736">
        <w:rPr>
          <w:sz w:val="28"/>
          <w:szCs w:val="28"/>
        </w:rPr>
        <w:t>Hội đồng nhân dân</w:t>
      </w:r>
      <w:r w:rsidR="00F2352C" w:rsidRPr="00325736">
        <w:rPr>
          <w:rFonts w:eastAsia="Calibri"/>
          <w:sz w:val="28"/>
          <w:szCs w:val="28"/>
          <w:lang w:val="am-ET"/>
        </w:rPr>
        <w:t xml:space="preserve"> tỉnh giao </w:t>
      </w:r>
      <w:r w:rsidR="004D2966" w:rsidRPr="00325736">
        <w:rPr>
          <w:rFonts w:eastAsia="Calibri"/>
          <w:sz w:val="28"/>
          <w:szCs w:val="28"/>
        </w:rPr>
        <w:t xml:space="preserve">8.277.847 </w:t>
      </w:r>
      <w:r w:rsidR="00F2352C" w:rsidRPr="00325736">
        <w:rPr>
          <w:rFonts w:eastAsia="Calibri"/>
          <w:sz w:val="28"/>
          <w:szCs w:val="28"/>
          <w:lang w:val="am-ET"/>
        </w:rPr>
        <w:t>triệu đồng; nhiệm vụ chi năm 201</w:t>
      </w:r>
      <w:r w:rsidR="000D220B" w:rsidRPr="00325736">
        <w:rPr>
          <w:rFonts w:eastAsia="Calibri"/>
          <w:sz w:val="28"/>
          <w:szCs w:val="28"/>
          <w:lang w:val="nl-NL"/>
        </w:rPr>
        <w:t>9</w:t>
      </w:r>
      <w:r w:rsidR="00F2352C" w:rsidRPr="00325736">
        <w:rPr>
          <w:rFonts w:eastAsia="Calibri"/>
          <w:sz w:val="28"/>
          <w:szCs w:val="28"/>
          <w:lang w:val="am-ET"/>
        </w:rPr>
        <w:t xml:space="preserve"> còn tiếp tục chuyển nguồn sang năm 20</w:t>
      </w:r>
      <w:r w:rsidR="000D220B" w:rsidRPr="00325736">
        <w:rPr>
          <w:rFonts w:eastAsia="Calibri"/>
          <w:sz w:val="28"/>
          <w:szCs w:val="28"/>
          <w:lang w:val="nl-NL"/>
        </w:rPr>
        <w:t>20</w:t>
      </w:r>
      <w:r w:rsidR="00F2352C" w:rsidRPr="00325736">
        <w:rPr>
          <w:rFonts w:eastAsia="Calibri"/>
          <w:sz w:val="28"/>
          <w:szCs w:val="28"/>
        </w:rPr>
        <w:t xml:space="preserve"> là</w:t>
      </w:r>
      <w:r w:rsidR="00F2352C" w:rsidRPr="00325736">
        <w:rPr>
          <w:rFonts w:eastAsia="Calibri"/>
          <w:sz w:val="28"/>
          <w:szCs w:val="28"/>
          <w:lang w:val="am-ET"/>
        </w:rPr>
        <w:t xml:space="preserve"> </w:t>
      </w:r>
      <w:r w:rsidR="004D2966" w:rsidRPr="00325736">
        <w:rPr>
          <w:rFonts w:eastAsia="Calibri"/>
          <w:sz w:val="28"/>
          <w:szCs w:val="28"/>
        </w:rPr>
        <w:t>2.587.636</w:t>
      </w:r>
      <w:r w:rsidR="004D2966" w:rsidRPr="00325736">
        <w:rPr>
          <w:rFonts w:eastAsia="Calibri"/>
          <w:sz w:val="28"/>
          <w:szCs w:val="28"/>
          <w:lang w:val="nl-NL"/>
        </w:rPr>
        <w:t xml:space="preserve"> </w:t>
      </w:r>
      <w:r w:rsidR="00F2352C" w:rsidRPr="00325736">
        <w:rPr>
          <w:rFonts w:eastAsia="Calibri"/>
          <w:sz w:val="28"/>
          <w:szCs w:val="28"/>
          <w:lang w:val="am-ET"/>
        </w:rPr>
        <w:t xml:space="preserve">triệu đồng; </w:t>
      </w:r>
      <w:r w:rsidR="004D2966" w:rsidRPr="00325736">
        <w:rPr>
          <w:rFonts w:eastAsia="Calibri"/>
          <w:sz w:val="28"/>
          <w:szCs w:val="28"/>
        </w:rPr>
        <w:t>nguồn trung ương bổ sung mục tiêu trong năm 200.000 triệu đồng</w:t>
      </w:r>
      <w:r w:rsidRPr="00325736">
        <w:rPr>
          <w:sz w:val="28"/>
          <w:lang w:val="am-ET"/>
        </w:rPr>
        <w:t xml:space="preserve">. </w:t>
      </w:r>
      <w:r w:rsidR="007455A1" w:rsidRPr="00325736">
        <w:rPr>
          <w:sz w:val="28"/>
          <w:szCs w:val="28"/>
          <w:lang w:val="nl-NL"/>
        </w:rPr>
        <w:t xml:space="preserve">Ước thực hiện chi </w:t>
      </w:r>
      <w:r w:rsidR="007455A1" w:rsidRPr="00325736">
        <w:rPr>
          <w:sz w:val="28"/>
        </w:rPr>
        <w:t>ngân sách</w:t>
      </w:r>
      <w:r w:rsidR="007455A1" w:rsidRPr="00325736">
        <w:rPr>
          <w:sz w:val="28"/>
          <w:lang w:val="am-ET"/>
        </w:rPr>
        <w:t xml:space="preserve"> địa phương</w:t>
      </w:r>
      <w:r w:rsidR="007455A1" w:rsidRPr="00325736">
        <w:rPr>
          <w:b/>
          <w:sz w:val="28"/>
        </w:rPr>
        <w:t xml:space="preserve"> </w:t>
      </w:r>
      <w:r w:rsidR="007455A1" w:rsidRPr="00325736">
        <w:rPr>
          <w:sz w:val="28"/>
          <w:szCs w:val="28"/>
          <w:lang w:val="nl-NL"/>
        </w:rPr>
        <w:t>năm 20</w:t>
      </w:r>
      <w:r w:rsidR="000D220B" w:rsidRPr="00325736">
        <w:rPr>
          <w:sz w:val="28"/>
          <w:szCs w:val="28"/>
          <w:lang w:val="nl-NL"/>
        </w:rPr>
        <w:t>20</w:t>
      </w:r>
      <w:r w:rsidR="007455A1" w:rsidRPr="00325736">
        <w:rPr>
          <w:sz w:val="28"/>
          <w:szCs w:val="28"/>
          <w:lang w:val="nl-NL"/>
        </w:rPr>
        <w:t xml:space="preserve"> là </w:t>
      </w:r>
      <w:r w:rsidR="004D2966" w:rsidRPr="00325736">
        <w:rPr>
          <w:rFonts w:eastAsia="Calibri"/>
          <w:sz w:val="28"/>
          <w:szCs w:val="28"/>
          <w:lang w:val="am-ET"/>
        </w:rPr>
        <w:t>9.160.000 triệu đồng</w:t>
      </w:r>
      <w:r w:rsidR="004D2966" w:rsidRPr="00325736">
        <w:rPr>
          <w:rFonts w:eastAsia="Calibri"/>
          <w:sz w:val="28"/>
          <w:szCs w:val="28"/>
        </w:rPr>
        <w:t>,</w:t>
      </w:r>
      <w:r w:rsidR="004D2966" w:rsidRPr="00325736">
        <w:rPr>
          <w:rFonts w:eastAsia="Calibri"/>
          <w:sz w:val="28"/>
          <w:szCs w:val="28"/>
          <w:lang w:val="am-ET"/>
        </w:rPr>
        <w:t xml:space="preserve"> đạt 82,8% nhiệm vụ chi </w:t>
      </w:r>
      <w:r w:rsidR="004D2966" w:rsidRPr="00325736">
        <w:rPr>
          <w:bCs/>
          <w:sz w:val="28"/>
          <w:szCs w:val="28"/>
          <w:lang w:val="am-ET"/>
        </w:rPr>
        <w:t>và bằng 121,3% so cùng kỳ năm trước</w:t>
      </w:r>
      <w:r w:rsidR="007455A1" w:rsidRPr="00325736">
        <w:rPr>
          <w:sz w:val="28"/>
          <w:lang w:val="am-ET"/>
        </w:rPr>
        <w:t>.</w:t>
      </w:r>
    </w:p>
    <w:p w:rsidR="00D96713" w:rsidRPr="00325736" w:rsidRDefault="000D475C" w:rsidP="00325736">
      <w:pPr>
        <w:spacing w:before="120" w:after="120"/>
        <w:ind w:firstLine="709"/>
        <w:jc w:val="both"/>
        <w:rPr>
          <w:sz w:val="28"/>
          <w:szCs w:val="28"/>
          <w:lang w:val="pt-BR"/>
        </w:rPr>
      </w:pPr>
      <w:r w:rsidRPr="00325736">
        <w:rPr>
          <w:sz w:val="28"/>
          <w:lang w:val="am-ET"/>
        </w:rPr>
        <w:t xml:space="preserve">Ban Kinh tế - Ngân sách </w:t>
      </w:r>
      <w:r w:rsidR="00C87D08" w:rsidRPr="00325736">
        <w:rPr>
          <w:sz w:val="28"/>
          <w:lang w:val="am-ET"/>
        </w:rPr>
        <w:t xml:space="preserve">cơ bản </w:t>
      </w:r>
      <w:r w:rsidRPr="00325736">
        <w:rPr>
          <w:sz w:val="28"/>
          <w:lang w:val="am-ET"/>
        </w:rPr>
        <w:t xml:space="preserve">thống nhất với </w:t>
      </w:r>
      <w:r w:rsidR="003427EE" w:rsidRPr="00325736">
        <w:rPr>
          <w:sz w:val="28"/>
          <w:lang w:val="am-ET"/>
        </w:rPr>
        <w:t xml:space="preserve">đánh giá của Ủy ban nhân dân tỉnh về </w:t>
      </w:r>
      <w:r w:rsidRPr="00325736">
        <w:rPr>
          <w:sz w:val="28"/>
          <w:lang w:val="am-ET"/>
        </w:rPr>
        <w:t>tình hình</w:t>
      </w:r>
      <w:r w:rsidR="007F69ED" w:rsidRPr="00325736">
        <w:rPr>
          <w:sz w:val="28"/>
          <w:lang w:val="am-ET"/>
        </w:rPr>
        <w:t xml:space="preserve"> thực hiện</w:t>
      </w:r>
      <w:r w:rsidRPr="00325736">
        <w:rPr>
          <w:sz w:val="28"/>
          <w:lang w:val="am-ET"/>
        </w:rPr>
        <w:t xml:space="preserve"> chi ngân sách </w:t>
      </w:r>
      <w:r w:rsidR="003427EE" w:rsidRPr="00325736">
        <w:rPr>
          <w:sz w:val="28"/>
          <w:lang w:val="am-ET"/>
        </w:rPr>
        <w:t>địa phương năm 20</w:t>
      </w:r>
      <w:r w:rsidR="000D220B" w:rsidRPr="00325736">
        <w:rPr>
          <w:sz w:val="28"/>
          <w:lang w:val="am-ET"/>
        </w:rPr>
        <w:t>20</w:t>
      </w:r>
      <w:r w:rsidRPr="00325736">
        <w:rPr>
          <w:sz w:val="28"/>
          <w:lang w:val="am-ET"/>
        </w:rPr>
        <w:t xml:space="preserve">. Mặc dù, Ủy ban nhân dân tỉnh đã </w:t>
      </w:r>
      <w:r w:rsidR="00AE787A" w:rsidRPr="00325736">
        <w:rPr>
          <w:sz w:val="28"/>
          <w:lang w:val="am-ET"/>
        </w:rPr>
        <w:t xml:space="preserve">chỉ đạo </w:t>
      </w:r>
      <w:r w:rsidRPr="00325736">
        <w:rPr>
          <w:sz w:val="28"/>
          <w:lang w:val="am-ET"/>
        </w:rPr>
        <w:t xml:space="preserve">quyết liệt </w:t>
      </w:r>
      <w:r w:rsidR="003427EE" w:rsidRPr="00325736">
        <w:rPr>
          <w:sz w:val="28"/>
          <w:lang w:val="am-ET"/>
        </w:rPr>
        <w:t>đẩy nhanh tiến độ thực hiện, giải ngân vốn đầu tư các dự án nguồn ngân sách nhà nước năm 20</w:t>
      </w:r>
      <w:r w:rsidR="000D220B" w:rsidRPr="00325736">
        <w:rPr>
          <w:sz w:val="28"/>
          <w:lang w:val="am-ET"/>
        </w:rPr>
        <w:t>20</w:t>
      </w:r>
      <w:r w:rsidR="003427EE" w:rsidRPr="00325736">
        <w:rPr>
          <w:sz w:val="28"/>
          <w:lang w:val="am-ET"/>
        </w:rPr>
        <w:t xml:space="preserve">, </w:t>
      </w:r>
      <w:r w:rsidR="00C87D08" w:rsidRPr="00325736">
        <w:rPr>
          <w:sz w:val="28"/>
          <w:lang w:val="am-ET"/>
        </w:rPr>
        <w:t xml:space="preserve">kịp thời trình cấp thẩm quyền điều chỉnh, điều chuyển vốn thuộc kế hoạch đầu tư nguồn ngân sách nhà nước năm 2020 cho phù hợp với tình hình thực tế của địa phương, </w:t>
      </w:r>
      <w:r w:rsidR="007F69ED" w:rsidRPr="00325736">
        <w:rPr>
          <w:sz w:val="28"/>
          <w:lang w:val="am-ET"/>
        </w:rPr>
        <w:t xml:space="preserve">tuy nhiên </w:t>
      </w:r>
      <w:r w:rsidR="00545847" w:rsidRPr="00325736">
        <w:rPr>
          <w:sz w:val="28"/>
          <w:lang w:val="am-ET"/>
        </w:rPr>
        <w:t xml:space="preserve">qua khảo sát tình hình thực hiện kế hoạch đầu tư nguồn ngân sách nhà nước, </w:t>
      </w:r>
      <w:r w:rsidR="00D17981" w:rsidRPr="00325736">
        <w:rPr>
          <w:sz w:val="28"/>
          <w:szCs w:val="28"/>
          <w:lang w:val="pt-BR"/>
        </w:rPr>
        <w:t xml:space="preserve">Ban Kinh tế - Ngân sách </w:t>
      </w:r>
      <w:r w:rsidR="00545847" w:rsidRPr="00325736">
        <w:rPr>
          <w:sz w:val="28"/>
          <w:szCs w:val="28"/>
          <w:lang w:val="pt-BR"/>
        </w:rPr>
        <w:t>cho rằng</w:t>
      </w:r>
      <w:r w:rsidR="00C87D08" w:rsidRPr="00325736">
        <w:rPr>
          <w:sz w:val="28"/>
          <w:szCs w:val="28"/>
          <w:lang w:val="pt-BR"/>
        </w:rPr>
        <w:t xml:space="preserve"> </w:t>
      </w:r>
      <w:r w:rsidR="00545847" w:rsidRPr="00325736">
        <w:rPr>
          <w:sz w:val="28"/>
          <w:szCs w:val="28"/>
          <w:lang w:val="pt-BR"/>
        </w:rPr>
        <w:t>ngoài những nội dung Ủy ban nhân dân tỉnh đã nêu tại Báo cáo</w:t>
      </w:r>
      <w:r w:rsidR="00D96713" w:rsidRPr="00325736">
        <w:rPr>
          <w:sz w:val="28"/>
          <w:szCs w:val="28"/>
          <w:lang w:val="pt-BR"/>
        </w:rPr>
        <w:t>.</w:t>
      </w:r>
    </w:p>
    <w:p w:rsidR="00670AF8" w:rsidRPr="00325736" w:rsidRDefault="00D96713" w:rsidP="00325736">
      <w:pPr>
        <w:spacing w:before="120" w:after="120"/>
        <w:ind w:firstLine="709"/>
        <w:jc w:val="both"/>
        <w:rPr>
          <w:sz w:val="28"/>
          <w:szCs w:val="28"/>
          <w:lang w:val="pt-BR"/>
        </w:rPr>
      </w:pPr>
      <w:r w:rsidRPr="00325736">
        <w:rPr>
          <w:sz w:val="28"/>
          <w:szCs w:val="28"/>
          <w:lang w:val="pt-BR"/>
        </w:rPr>
        <w:t xml:space="preserve">Đồng thời, </w:t>
      </w:r>
      <w:r w:rsidR="00545847" w:rsidRPr="00325736">
        <w:rPr>
          <w:sz w:val="28"/>
          <w:szCs w:val="28"/>
          <w:lang w:val="pt-BR"/>
        </w:rPr>
        <w:t xml:space="preserve">Ban nhận thấy một số hạn chế, vướng mắc như: </w:t>
      </w:r>
      <w:r w:rsidR="00E8058D" w:rsidRPr="00325736">
        <w:rPr>
          <w:sz w:val="28"/>
          <w:szCs w:val="28"/>
          <w:lang w:val="pt-BR"/>
        </w:rPr>
        <w:t>M</w:t>
      </w:r>
      <w:r w:rsidR="00545847" w:rsidRPr="00325736">
        <w:rPr>
          <w:sz w:val="28"/>
          <w:szCs w:val="28"/>
          <w:lang w:val="pt-BR"/>
        </w:rPr>
        <w:t>ột số nguồn vốn giải ngân chậm</w:t>
      </w:r>
      <w:r w:rsidR="00545847" w:rsidRPr="00325736">
        <w:rPr>
          <w:sz w:val="28"/>
          <w:szCs w:val="28"/>
          <w:vertAlign w:val="superscript"/>
          <w:lang w:val="pt-BR"/>
        </w:rPr>
        <w:t>(</w:t>
      </w:r>
      <w:r w:rsidR="00545847" w:rsidRPr="00325736">
        <w:rPr>
          <w:rStyle w:val="FootnoteReference"/>
          <w:sz w:val="28"/>
          <w:szCs w:val="28"/>
          <w:lang w:val="pt-BR"/>
        </w:rPr>
        <w:footnoteReference w:id="7"/>
      </w:r>
      <w:r w:rsidR="00545847" w:rsidRPr="00325736">
        <w:rPr>
          <w:sz w:val="28"/>
          <w:szCs w:val="28"/>
          <w:vertAlign w:val="superscript"/>
          <w:lang w:val="pt-BR"/>
        </w:rPr>
        <w:t>)</w:t>
      </w:r>
      <w:r w:rsidR="00545847" w:rsidRPr="00325736">
        <w:rPr>
          <w:szCs w:val="28"/>
          <w:lang w:val="nl-NL"/>
        </w:rPr>
        <w:t>;</w:t>
      </w:r>
      <w:r w:rsidR="00545847" w:rsidRPr="00325736">
        <w:t xml:space="preserve"> </w:t>
      </w:r>
      <w:r w:rsidR="00A63340" w:rsidRPr="00325736">
        <w:rPr>
          <w:sz w:val="28"/>
          <w:lang w:val="am-ET"/>
        </w:rPr>
        <w:t xml:space="preserve">Một số dự án được </w:t>
      </w:r>
      <w:r w:rsidR="00545847" w:rsidRPr="00325736">
        <w:rPr>
          <w:spacing w:val="2"/>
          <w:sz w:val="28"/>
          <w:szCs w:val="28"/>
        </w:rPr>
        <w:t xml:space="preserve">cho ứng </w:t>
      </w:r>
      <w:r w:rsidR="00E9693B" w:rsidRPr="00325736">
        <w:rPr>
          <w:spacing w:val="2"/>
          <w:sz w:val="28"/>
          <w:szCs w:val="28"/>
          <w:lang w:val="am-ET"/>
        </w:rPr>
        <w:t xml:space="preserve">trước </w:t>
      </w:r>
      <w:r w:rsidR="00545847" w:rsidRPr="00325736">
        <w:rPr>
          <w:spacing w:val="2"/>
          <w:sz w:val="28"/>
          <w:szCs w:val="28"/>
        </w:rPr>
        <w:t xml:space="preserve">vốn để </w:t>
      </w:r>
      <w:r w:rsidR="00A63340" w:rsidRPr="00325736">
        <w:rPr>
          <w:spacing w:val="2"/>
          <w:sz w:val="28"/>
          <w:szCs w:val="28"/>
          <w:lang w:val="am-ET"/>
        </w:rPr>
        <w:t xml:space="preserve">triển khai thực hiện </w:t>
      </w:r>
      <w:r w:rsidR="0071790A" w:rsidRPr="00325736">
        <w:rPr>
          <w:spacing w:val="2"/>
          <w:sz w:val="28"/>
          <w:szCs w:val="28"/>
          <w:lang w:val="am-ET"/>
        </w:rPr>
        <w:t>chưa phù hợp</w:t>
      </w:r>
      <w:r w:rsidR="00545847" w:rsidRPr="00325736">
        <w:rPr>
          <w:spacing w:val="2"/>
          <w:sz w:val="28"/>
          <w:szCs w:val="28"/>
          <w:vertAlign w:val="superscript"/>
        </w:rPr>
        <w:t>(</w:t>
      </w:r>
      <w:r w:rsidR="00545847" w:rsidRPr="00325736">
        <w:rPr>
          <w:rStyle w:val="FootnoteReference"/>
          <w:spacing w:val="2"/>
          <w:sz w:val="28"/>
          <w:szCs w:val="28"/>
        </w:rPr>
        <w:footnoteReference w:id="8"/>
      </w:r>
      <w:r w:rsidR="00545847" w:rsidRPr="00325736">
        <w:rPr>
          <w:spacing w:val="2"/>
          <w:sz w:val="28"/>
          <w:szCs w:val="28"/>
          <w:vertAlign w:val="superscript"/>
        </w:rPr>
        <w:t>)</w:t>
      </w:r>
      <w:r w:rsidR="00545847" w:rsidRPr="00325736">
        <w:rPr>
          <w:spacing w:val="2"/>
          <w:sz w:val="28"/>
          <w:szCs w:val="28"/>
        </w:rPr>
        <w:t xml:space="preserve">, đặc biệt là đối với các </w:t>
      </w:r>
      <w:r w:rsidR="00545847" w:rsidRPr="00325736">
        <w:rPr>
          <w:sz w:val="28"/>
          <w:szCs w:val="28"/>
        </w:rPr>
        <w:t>dự án khởi công mới</w:t>
      </w:r>
      <w:r w:rsidR="00545847" w:rsidRPr="00325736">
        <w:rPr>
          <w:sz w:val="28"/>
          <w:szCs w:val="28"/>
          <w:vertAlign w:val="superscript"/>
        </w:rPr>
        <w:t>(</w:t>
      </w:r>
      <w:r w:rsidR="00545847" w:rsidRPr="00325736">
        <w:rPr>
          <w:rStyle w:val="FootnoteReference"/>
          <w:sz w:val="28"/>
          <w:szCs w:val="28"/>
        </w:rPr>
        <w:footnoteReference w:id="9"/>
      </w:r>
      <w:r w:rsidR="00545847" w:rsidRPr="00325736">
        <w:rPr>
          <w:sz w:val="28"/>
          <w:szCs w:val="28"/>
          <w:vertAlign w:val="superscript"/>
        </w:rPr>
        <w:t>)</w:t>
      </w:r>
      <w:r w:rsidR="00545847" w:rsidRPr="00325736">
        <w:rPr>
          <w:sz w:val="28"/>
          <w:szCs w:val="28"/>
        </w:rPr>
        <w:t>.</w:t>
      </w:r>
      <w:r w:rsidR="00545847" w:rsidRPr="00325736">
        <w:rPr>
          <w:spacing w:val="2"/>
          <w:sz w:val="28"/>
          <w:szCs w:val="28"/>
        </w:rPr>
        <w:t xml:space="preserve"> Số vốn tạm ứng kéo dài qua các năm chưa được </w:t>
      </w:r>
      <w:r w:rsidR="00A63340" w:rsidRPr="00325736">
        <w:rPr>
          <w:spacing w:val="2"/>
          <w:sz w:val="28"/>
          <w:szCs w:val="28"/>
        </w:rPr>
        <w:t xml:space="preserve">thu hồi, </w:t>
      </w:r>
      <w:r w:rsidR="00545847" w:rsidRPr="00325736">
        <w:rPr>
          <w:spacing w:val="2"/>
          <w:sz w:val="28"/>
          <w:szCs w:val="28"/>
        </w:rPr>
        <w:t>xử lý dứt điểm</w:t>
      </w:r>
      <w:r w:rsidR="00545847" w:rsidRPr="00325736">
        <w:rPr>
          <w:spacing w:val="2"/>
          <w:sz w:val="28"/>
          <w:szCs w:val="28"/>
          <w:vertAlign w:val="superscript"/>
        </w:rPr>
        <w:t>(</w:t>
      </w:r>
      <w:r w:rsidR="00545847" w:rsidRPr="00325736">
        <w:rPr>
          <w:rStyle w:val="FootnoteReference"/>
          <w:spacing w:val="2"/>
          <w:sz w:val="28"/>
          <w:szCs w:val="28"/>
        </w:rPr>
        <w:footnoteReference w:id="10"/>
      </w:r>
      <w:r w:rsidR="00545847" w:rsidRPr="00325736">
        <w:rPr>
          <w:spacing w:val="2"/>
          <w:sz w:val="28"/>
          <w:szCs w:val="28"/>
          <w:vertAlign w:val="superscript"/>
        </w:rPr>
        <w:t>)</w:t>
      </w:r>
      <w:r w:rsidR="00545847" w:rsidRPr="00325736">
        <w:rPr>
          <w:spacing w:val="2"/>
          <w:sz w:val="28"/>
          <w:szCs w:val="28"/>
        </w:rPr>
        <w:t xml:space="preserve">. </w:t>
      </w:r>
      <w:r w:rsidR="00545847" w:rsidRPr="00325736">
        <w:rPr>
          <w:sz w:val="28"/>
          <w:szCs w:val="28"/>
        </w:rPr>
        <w:t>Công tác lựa chọn, xác định danh mục, sản phẩm hỗ trợ, thẩm định trình cấp thẩm quyền phê duyệt</w:t>
      </w:r>
      <w:r w:rsidR="00545847" w:rsidRPr="00325736">
        <w:rPr>
          <w:sz w:val="28"/>
          <w:szCs w:val="28"/>
          <w:vertAlign w:val="superscript"/>
        </w:rPr>
        <w:t>(</w:t>
      </w:r>
      <w:r w:rsidR="00545847" w:rsidRPr="00325736">
        <w:rPr>
          <w:rStyle w:val="FootnoteReference"/>
          <w:sz w:val="28"/>
          <w:szCs w:val="28"/>
        </w:rPr>
        <w:footnoteReference w:id="11"/>
      </w:r>
      <w:r w:rsidR="00545847" w:rsidRPr="00325736">
        <w:rPr>
          <w:sz w:val="28"/>
          <w:szCs w:val="28"/>
          <w:vertAlign w:val="superscript"/>
        </w:rPr>
        <w:t>)</w:t>
      </w:r>
      <w:r w:rsidR="00545847" w:rsidRPr="00325736">
        <w:rPr>
          <w:sz w:val="28"/>
          <w:szCs w:val="28"/>
        </w:rPr>
        <w:t>; thông báo mời thầu, tư vấn lựa chọn nhà thầu thực hiện dự án hỗ trợ phát triển sản xuất từ nguồn chương trình mục tiêu quốc gia còn chậm, mất nhiều thời gian.</w:t>
      </w:r>
    </w:p>
    <w:p w:rsidR="00024758" w:rsidRPr="00325736" w:rsidRDefault="002C5BF4" w:rsidP="00325736">
      <w:pPr>
        <w:spacing w:before="120" w:after="120"/>
        <w:ind w:firstLine="709"/>
        <w:jc w:val="both"/>
        <w:rPr>
          <w:b/>
          <w:sz w:val="28"/>
          <w:lang w:val="pt-BR"/>
        </w:rPr>
      </w:pPr>
      <w:r w:rsidRPr="00325736">
        <w:rPr>
          <w:b/>
          <w:sz w:val="28"/>
          <w:lang w:val="pt-BR"/>
        </w:rPr>
        <w:tab/>
        <w:t xml:space="preserve">2. </w:t>
      </w:r>
      <w:r w:rsidR="00976EB1" w:rsidRPr="00325736">
        <w:rPr>
          <w:b/>
          <w:sz w:val="28"/>
          <w:lang w:val="am-ET"/>
        </w:rPr>
        <w:t xml:space="preserve">Nội dung </w:t>
      </w:r>
      <w:r w:rsidR="004A4A62" w:rsidRPr="00325736">
        <w:rPr>
          <w:b/>
          <w:sz w:val="28"/>
          <w:lang w:val="am-ET"/>
        </w:rPr>
        <w:t>dự thảo nghị quyết</w:t>
      </w:r>
      <w:r w:rsidR="00976EB1" w:rsidRPr="00325736">
        <w:rPr>
          <w:b/>
          <w:sz w:val="28"/>
          <w:lang w:val="am-ET"/>
        </w:rPr>
        <w:t xml:space="preserve"> về</w:t>
      </w:r>
      <w:r w:rsidR="004A4A62" w:rsidRPr="00325736">
        <w:rPr>
          <w:b/>
          <w:sz w:val="28"/>
          <w:lang w:val="am-ET"/>
        </w:rPr>
        <w:t xml:space="preserve"> </w:t>
      </w:r>
      <w:r w:rsidR="008B75B8" w:rsidRPr="00325736">
        <w:rPr>
          <w:b/>
          <w:sz w:val="28"/>
          <w:lang w:val="am-ET"/>
        </w:rPr>
        <w:t xml:space="preserve">dự toán thu, chi ngân sách </w:t>
      </w:r>
      <w:r w:rsidR="00C13330" w:rsidRPr="00325736">
        <w:rPr>
          <w:b/>
          <w:sz w:val="28"/>
          <w:lang w:val="am-ET"/>
        </w:rPr>
        <w:t xml:space="preserve">địa phương </w:t>
      </w:r>
      <w:r w:rsidR="008B75B8" w:rsidRPr="00325736">
        <w:rPr>
          <w:b/>
          <w:sz w:val="28"/>
          <w:lang w:val="am-ET"/>
        </w:rPr>
        <w:t xml:space="preserve">và </w:t>
      </w:r>
      <w:r w:rsidR="00024758" w:rsidRPr="00325736">
        <w:rPr>
          <w:b/>
          <w:sz w:val="28"/>
          <w:lang w:val="am-ET"/>
        </w:rPr>
        <w:t xml:space="preserve">phân bổ </w:t>
      </w:r>
      <w:r w:rsidR="008B75B8" w:rsidRPr="00325736">
        <w:rPr>
          <w:b/>
          <w:sz w:val="28"/>
          <w:lang w:val="am-ET"/>
        </w:rPr>
        <w:t>ngân sách</w:t>
      </w:r>
      <w:r w:rsidR="00024758" w:rsidRPr="00325736">
        <w:rPr>
          <w:b/>
          <w:sz w:val="28"/>
          <w:lang w:val="am-ET"/>
        </w:rPr>
        <w:t xml:space="preserve"> </w:t>
      </w:r>
      <w:r w:rsidR="00C13330" w:rsidRPr="00325736">
        <w:rPr>
          <w:b/>
          <w:sz w:val="28"/>
          <w:lang w:val="am-ET"/>
        </w:rPr>
        <w:t xml:space="preserve">cấp tỉnh </w:t>
      </w:r>
      <w:r w:rsidR="00024758" w:rsidRPr="00325736">
        <w:rPr>
          <w:b/>
          <w:sz w:val="28"/>
          <w:lang w:val="am-ET"/>
        </w:rPr>
        <w:t>năm 20</w:t>
      </w:r>
      <w:r w:rsidR="00045B58" w:rsidRPr="00325736">
        <w:rPr>
          <w:b/>
          <w:sz w:val="28"/>
          <w:lang w:val="pt-BR"/>
        </w:rPr>
        <w:t>2</w:t>
      </w:r>
      <w:r w:rsidR="000D220B" w:rsidRPr="00325736">
        <w:rPr>
          <w:b/>
          <w:sz w:val="28"/>
          <w:lang w:val="pt-BR"/>
        </w:rPr>
        <w:t>1</w:t>
      </w:r>
    </w:p>
    <w:p w:rsidR="001931F3" w:rsidRPr="00325736" w:rsidRDefault="001931F3" w:rsidP="00325736">
      <w:pPr>
        <w:spacing w:before="120" w:after="120"/>
        <w:ind w:firstLine="709"/>
        <w:jc w:val="both"/>
        <w:rPr>
          <w:sz w:val="28"/>
          <w:szCs w:val="28"/>
        </w:rPr>
      </w:pPr>
      <w:r w:rsidRPr="00325736">
        <w:rPr>
          <w:sz w:val="28"/>
          <w:szCs w:val="28"/>
        </w:rPr>
        <w:t>Căn cứ Nghị quyết số 122/2020/QH14 ngày 19</w:t>
      </w:r>
      <w:r w:rsidRPr="00325736">
        <w:rPr>
          <w:sz w:val="28"/>
          <w:szCs w:val="28"/>
          <w:lang w:val="pt-BR"/>
        </w:rPr>
        <w:t>/</w:t>
      </w:r>
      <w:r w:rsidRPr="00325736">
        <w:rPr>
          <w:sz w:val="28"/>
          <w:szCs w:val="28"/>
        </w:rPr>
        <w:t>6</w:t>
      </w:r>
      <w:r w:rsidRPr="00325736">
        <w:rPr>
          <w:sz w:val="28"/>
          <w:szCs w:val="28"/>
          <w:lang w:val="pt-BR"/>
        </w:rPr>
        <w:t>/</w:t>
      </w:r>
      <w:r w:rsidRPr="00325736">
        <w:rPr>
          <w:sz w:val="28"/>
          <w:szCs w:val="28"/>
        </w:rPr>
        <w:t xml:space="preserve">2020 của Quốc hội về </w:t>
      </w:r>
      <w:r w:rsidRPr="00325736">
        <w:rPr>
          <w:sz w:val="28"/>
          <w:szCs w:val="28"/>
          <w:lang w:val="pt-BR"/>
        </w:rPr>
        <w:t>Kỳ họp thứ 9 Quốc hội Khóa XIV</w:t>
      </w:r>
      <w:r w:rsidRPr="00325736">
        <w:rPr>
          <w:sz w:val="28"/>
          <w:szCs w:val="28"/>
          <w:vertAlign w:val="superscript"/>
          <w:lang w:val="pt-BR"/>
        </w:rPr>
        <w:t>(</w:t>
      </w:r>
      <w:r w:rsidRPr="00325736">
        <w:rPr>
          <w:rStyle w:val="FootnoteReference"/>
          <w:sz w:val="28"/>
          <w:szCs w:val="28"/>
          <w:lang w:val="en-US"/>
        </w:rPr>
        <w:footnoteReference w:id="12"/>
      </w:r>
      <w:r w:rsidRPr="00325736">
        <w:rPr>
          <w:sz w:val="28"/>
          <w:szCs w:val="28"/>
          <w:vertAlign w:val="superscript"/>
          <w:lang w:val="pt-BR"/>
        </w:rPr>
        <w:t>)</w:t>
      </w:r>
      <w:r w:rsidRPr="00325736">
        <w:rPr>
          <w:sz w:val="28"/>
          <w:szCs w:val="28"/>
          <w:lang w:val="pt-BR"/>
        </w:rPr>
        <w:t xml:space="preserve">, Ủy ban nhân dân tỉnh báo cáo và </w:t>
      </w:r>
      <w:r w:rsidRPr="00325736">
        <w:rPr>
          <w:sz w:val="28"/>
          <w:szCs w:val="28"/>
        </w:rPr>
        <w:t>đề nghị Hội đồng nhân dân tỉnh tiếp tục cho phép thực hiện phân bổ chi thường xuyên</w:t>
      </w:r>
      <w:r w:rsidR="006114B0" w:rsidRPr="00325736">
        <w:rPr>
          <w:sz w:val="28"/>
          <w:szCs w:val="28"/>
          <w:lang w:val="pt-BR"/>
        </w:rPr>
        <w:t xml:space="preserve"> năm 2021</w:t>
      </w:r>
      <w:r w:rsidRPr="00325736">
        <w:rPr>
          <w:sz w:val="28"/>
          <w:szCs w:val="28"/>
        </w:rPr>
        <w:t xml:space="preserve"> theo định mức và phân cấp ngân sách địa phương theo Nghị quyết số 67/2016/NQ-HĐND, Nghị quyết số 68/2016/NQ-HĐND, Nghị quyết số 12/2018/NQ-HĐND và Nghị quyết số 08/2019/NQ-HĐND của Hội đồng nhân dân tỉnh</w:t>
      </w:r>
      <w:r w:rsidRPr="00325736">
        <w:rPr>
          <w:sz w:val="28"/>
          <w:szCs w:val="28"/>
          <w:lang w:val="pt-BR"/>
        </w:rPr>
        <w:t>.</w:t>
      </w:r>
      <w:r w:rsidR="006114B0" w:rsidRPr="00325736">
        <w:rPr>
          <w:sz w:val="28"/>
          <w:szCs w:val="28"/>
          <w:lang w:val="pt-BR"/>
        </w:rPr>
        <w:t xml:space="preserve"> Cụ thể như sau:</w:t>
      </w:r>
    </w:p>
    <w:p w:rsidR="006837E7" w:rsidRPr="00325736" w:rsidRDefault="002C5BF4" w:rsidP="00325736">
      <w:pPr>
        <w:spacing w:before="120" w:after="120"/>
        <w:ind w:firstLine="709"/>
        <w:jc w:val="both"/>
        <w:rPr>
          <w:b/>
          <w:sz w:val="28"/>
          <w:lang w:val="pt-BR"/>
        </w:rPr>
      </w:pPr>
      <w:r w:rsidRPr="00325736">
        <w:rPr>
          <w:b/>
          <w:sz w:val="28"/>
          <w:lang w:val="pt-BR"/>
        </w:rPr>
        <w:t xml:space="preserve">2.1. </w:t>
      </w:r>
      <w:r w:rsidR="00BB40F0" w:rsidRPr="00325736">
        <w:rPr>
          <w:b/>
          <w:sz w:val="28"/>
          <w:lang w:val="am-ET"/>
        </w:rPr>
        <w:t>D</w:t>
      </w:r>
      <w:r w:rsidR="006837E7" w:rsidRPr="00325736">
        <w:rPr>
          <w:b/>
          <w:sz w:val="28"/>
        </w:rPr>
        <w:t xml:space="preserve">ự </w:t>
      </w:r>
      <w:r w:rsidR="006837E7" w:rsidRPr="00325736">
        <w:rPr>
          <w:b/>
          <w:sz w:val="28"/>
          <w:lang w:val="am-ET"/>
        </w:rPr>
        <w:t>toán</w:t>
      </w:r>
      <w:r w:rsidR="006837E7" w:rsidRPr="00325736">
        <w:rPr>
          <w:b/>
          <w:sz w:val="28"/>
        </w:rPr>
        <w:t xml:space="preserve"> thu</w:t>
      </w:r>
      <w:r w:rsidR="00BB40F0" w:rsidRPr="00325736">
        <w:rPr>
          <w:b/>
          <w:sz w:val="28"/>
          <w:lang w:val="am-ET"/>
        </w:rPr>
        <w:t xml:space="preserve"> </w:t>
      </w:r>
      <w:r w:rsidR="006114B0" w:rsidRPr="00325736">
        <w:rPr>
          <w:b/>
          <w:sz w:val="28"/>
          <w:lang w:val="pt-BR"/>
        </w:rPr>
        <w:t xml:space="preserve">ngân </w:t>
      </w:r>
      <w:r w:rsidR="006837E7" w:rsidRPr="00325736">
        <w:rPr>
          <w:b/>
          <w:sz w:val="28"/>
        </w:rPr>
        <w:t xml:space="preserve">sách </w:t>
      </w:r>
      <w:r w:rsidR="00C333CA" w:rsidRPr="00325736">
        <w:rPr>
          <w:b/>
          <w:sz w:val="28"/>
          <w:lang w:val="am-ET"/>
        </w:rPr>
        <w:t xml:space="preserve">địa phương </w:t>
      </w:r>
      <w:r w:rsidR="00C13330" w:rsidRPr="00325736">
        <w:rPr>
          <w:b/>
          <w:sz w:val="28"/>
        </w:rPr>
        <w:t>năm 20</w:t>
      </w:r>
      <w:r w:rsidR="00045B58" w:rsidRPr="00325736">
        <w:rPr>
          <w:b/>
          <w:sz w:val="28"/>
          <w:lang w:val="pt-BR"/>
        </w:rPr>
        <w:t>2</w:t>
      </w:r>
      <w:r w:rsidR="000D220B" w:rsidRPr="00325736">
        <w:rPr>
          <w:b/>
          <w:sz w:val="28"/>
          <w:lang w:val="pt-BR"/>
        </w:rPr>
        <w:t>1</w:t>
      </w:r>
    </w:p>
    <w:p w:rsidR="006114B0" w:rsidRPr="00325736" w:rsidRDefault="006114B0" w:rsidP="00325736">
      <w:pPr>
        <w:spacing w:before="120" w:after="120"/>
        <w:ind w:firstLine="567"/>
        <w:jc w:val="both"/>
        <w:rPr>
          <w:sz w:val="28"/>
          <w:szCs w:val="28"/>
          <w:lang w:val="sv-SE"/>
        </w:rPr>
      </w:pPr>
      <w:r w:rsidRPr="00325736">
        <w:rPr>
          <w:sz w:val="28"/>
          <w:lang w:val="pt-BR"/>
        </w:rPr>
        <w:t>D</w:t>
      </w:r>
      <w:r w:rsidRPr="00325736">
        <w:rPr>
          <w:sz w:val="28"/>
          <w:szCs w:val="28"/>
          <w:lang w:val="sv-SE"/>
        </w:rPr>
        <w:t>ự toán</w:t>
      </w:r>
      <w:r w:rsidRPr="00325736">
        <w:rPr>
          <w:b/>
          <w:bCs/>
          <w:sz w:val="28"/>
          <w:szCs w:val="28"/>
          <w:lang w:val="sv-SE"/>
        </w:rPr>
        <w:t xml:space="preserve"> </w:t>
      </w:r>
      <w:r w:rsidRPr="00325736">
        <w:rPr>
          <w:sz w:val="28"/>
          <w:szCs w:val="28"/>
          <w:lang w:val="sv-SE"/>
        </w:rPr>
        <w:t xml:space="preserve">thu NSNN trên địa bàn năm 2021 địa phương giao 3.000.000 triệu đồng, trong đó: thu nội địa 2.753.200 triệu đồng, tăng so với dự toán Trung ương giao 14,3% </w:t>
      </w:r>
      <w:r w:rsidRPr="00325736">
        <w:rPr>
          <w:i/>
          <w:iCs/>
          <w:sz w:val="28"/>
          <w:szCs w:val="28"/>
          <w:lang w:val="sv-SE"/>
        </w:rPr>
        <w:t>(345.400 triệu đồng</w:t>
      </w:r>
      <w:r w:rsidRPr="00325736">
        <w:rPr>
          <w:i/>
          <w:iCs/>
          <w:sz w:val="28"/>
          <w:szCs w:val="28"/>
          <w:vertAlign w:val="superscript"/>
          <w:lang w:val="sv-SE"/>
        </w:rPr>
        <w:t>(</w:t>
      </w:r>
      <w:r w:rsidRPr="00325736">
        <w:rPr>
          <w:rStyle w:val="FootnoteReference"/>
          <w:i/>
          <w:iCs/>
          <w:sz w:val="28"/>
          <w:szCs w:val="28"/>
          <w:lang w:val="sv-SE"/>
        </w:rPr>
        <w:footnoteReference w:id="13"/>
      </w:r>
      <w:r w:rsidRPr="00325736">
        <w:rPr>
          <w:i/>
          <w:iCs/>
          <w:sz w:val="28"/>
          <w:szCs w:val="28"/>
          <w:vertAlign w:val="superscript"/>
          <w:lang w:val="sv-SE"/>
        </w:rPr>
        <w:t>)</w:t>
      </w:r>
      <w:r w:rsidRPr="00325736">
        <w:rPr>
          <w:i/>
          <w:iCs/>
          <w:sz w:val="28"/>
          <w:szCs w:val="28"/>
          <w:lang w:val="sv-SE"/>
        </w:rPr>
        <w:t>)</w:t>
      </w:r>
      <w:r w:rsidRPr="00325736">
        <w:rPr>
          <w:iCs/>
          <w:sz w:val="28"/>
          <w:szCs w:val="28"/>
          <w:lang w:val="sv-SE"/>
        </w:rPr>
        <w:t>;</w:t>
      </w:r>
      <w:r w:rsidRPr="00325736">
        <w:rPr>
          <w:i/>
          <w:iCs/>
          <w:sz w:val="28"/>
          <w:szCs w:val="28"/>
          <w:lang w:val="sv-SE"/>
        </w:rPr>
        <w:t xml:space="preserve"> </w:t>
      </w:r>
      <w:r w:rsidRPr="00325736">
        <w:rPr>
          <w:iCs/>
          <w:sz w:val="28"/>
          <w:szCs w:val="28"/>
          <w:lang w:val="sv-SE"/>
        </w:rPr>
        <w:t>thu từ hoạt động xuất nhập khẩu 246.800 triệu đồng, bằng trung ương giao.</w:t>
      </w:r>
      <w:r w:rsidRPr="00325736">
        <w:rPr>
          <w:sz w:val="28"/>
          <w:szCs w:val="28"/>
          <w:lang w:val="sv-SE"/>
        </w:rPr>
        <w:t xml:space="preserve"> Dự toán thu ngân sách địa phương 7.258.365 triệu đồng, tăng 5% so dự toán Trung ương giao; trong đó thu cân đối ngân sách địa phương 5.817.225 triệu đồng, tăng 6,3% so với dự toán trung ương giao.</w:t>
      </w:r>
    </w:p>
    <w:p w:rsidR="00EF1CCB" w:rsidRPr="00325736" w:rsidRDefault="002677D9" w:rsidP="00325736">
      <w:pPr>
        <w:spacing w:before="120" w:after="120"/>
        <w:ind w:firstLine="709"/>
        <w:jc w:val="both"/>
        <w:rPr>
          <w:b/>
          <w:sz w:val="28"/>
          <w:lang w:val="sv-SE"/>
        </w:rPr>
      </w:pPr>
      <w:r w:rsidRPr="00325736">
        <w:rPr>
          <w:b/>
          <w:sz w:val="28"/>
          <w:lang w:val="sv-SE"/>
        </w:rPr>
        <w:t xml:space="preserve">2.2. </w:t>
      </w:r>
      <w:r w:rsidR="00EF1CCB" w:rsidRPr="00325736">
        <w:rPr>
          <w:b/>
          <w:sz w:val="28"/>
        </w:rPr>
        <w:t>Dự toán chi</w:t>
      </w:r>
      <w:r w:rsidR="006114B0" w:rsidRPr="00325736">
        <w:rPr>
          <w:b/>
          <w:sz w:val="28"/>
          <w:lang w:val="sv-SE"/>
        </w:rPr>
        <w:t xml:space="preserve"> ngân</w:t>
      </w:r>
      <w:r w:rsidR="00EF1CCB" w:rsidRPr="00325736">
        <w:rPr>
          <w:b/>
          <w:sz w:val="28"/>
        </w:rPr>
        <w:t xml:space="preserve"> sách địa phương năm 20</w:t>
      </w:r>
      <w:r w:rsidR="00045B58" w:rsidRPr="00325736">
        <w:rPr>
          <w:b/>
          <w:sz w:val="28"/>
          <w:lang w:val="sv-SE"/>
        </w:rPr>
        <w:t>2</w:t>
      </w:r>
      <w:r w:rsidR="000D220B" w:rsidRPr="00325736">
        <w:rPr>
          <w:b/>
          <w:sz w:val="28"/>
          <w:lang w:val="sv-SE"/>
        </w:rPr>
        <w:t>1</w:t>
      </w:r>
    </w:p>
    <w:p w:rsidR="006114B0" w:rsidRPr="00325736" w:rsidRDefault="006114B0" w:rsidP="00325736">
      <w:pPr>
        <w:spacing w:before="120" w:after="120"/>
        <w:ind w:firstLine="567"/>
        <w:jc w:val="both"/>
        <w:rPr>
          <w:sz w:val="28"/>
          <w:szCs w:val="28"/>
          <w:lang w:val="sv-SE"/>
        </w:rPr>
      </w:pPr>
      <w:r w:rsidRPr="00325736">
        <w:rPr>
          <w:sz w:val="28"/>
          <w:szCs w:val="28"/>
          <w:lang w:val="sv-SE"/>
        </w:rPr>
        <w:t>Dự toán chi cân đối ngân sách địa phương 5.901.125 triệu đồng. Trong đó: Dự toán chi cân đối ngân sách địa phương 5.817.225 triệu đồng</w:t>
      </w:r>
      <w:r w:rsidR="00EF57CE" w:rsidRPr="00325736">
        <w:rPr>
          <w:sz w:val="28"/>
          <w:szCs w:val="28"/>
          <w:vertAlign w:val="superscript"/>
          <w:lang w:val="sv-SE"/>
        </w:rPr>
        <w:t>(</w:t>
      </w:r>
      <w:r w:rsidR="00EF57CE" w:rsidRPr="00325736">
        <w:rPr>
          <w:rStyle w:val="FootnoteReference"/>
          <w:sz w:val="28"/>
          <w:szCs w:val="28"/>
          <w:lang w:val="sv-SE"/>
        </w:rPr>
        <w:footnoteReference w:id="14"/>
      </w:r>
      <w:r w:rsidR="00EF57CE" w:rsidRPr="00325736">
        <w:rPr>
          <w:sz w:val="28"/>
          <w:szCs w:val="28"/>
          <w:vertAlign w:val="superscript"/>
          <w:lang w:val="sv-SE"/>
        </w:rPr>
        <w:t>)</w:t>
      </w:r>
      <w:r w:rsidRPr="00325736">
        <w:rPr>
          <w:sz w:val="28"/>
          <w:szCs w:val="28"/>
          <w:lang w:val="sv-SE"/>
        </w:rPr>
        <w:t>, tăng chi 345.400 triệu đồng</w:t>
      </w:r>
      <w:r w:rsidRPr="00325736">
        <w:rPr>
          <w:sz w:val="28"/>
          <w:szCs w:val="28"/>
          <w:vertAlign w:val="superscript"/>
          <w:lang w:val="sv-SE"/>
        </w:rPr>
        <w:t>(</w:t>
      </w:r>
      <w:r w:rsidRPr="00325736">
        <w:rPr>
          <w:rStyle w:val="FootnoteReference"/>
          <w:sz w:val="28"/>
          <w:szCs w:val="28"/>
          <w:lang w:val="sv-SE"/>
        </w:rPr>
        <w:footnoteReference w:id="15"/>
      </w:r>
      <w:r w:rsidRPr="00325736">
        <w:rPr>
          <w:sz w:val="28"/>
          <w:szCs w:val="28"/>
          <w:vertAlign w:val="superscript"/>
          <w:lang w:val="sv-SE"/>
        </w:rPr>
        <w:t>)</w:t>
      </w:r>
      <w:r w:rsidRPr="00325736">
        <w:rPr>
          <w:sz w:val="28"/>
          <w:szCs w:val="28"/>
          <w:lang w:val="sv-SE"/>
        </w:rPr>
        <w:t xml:space="preserve"> so dự toán Trung ương giao; Chi đầu tư từ nguồn bội chi ngân sách địa phương 83.900 triệu đồng.</w:t>
      </w:r>
    </w:p>
    <w:p w:rsidR="00FE16CB" w:rsidRPr="00325736" w:rsidRDefault="002677D9" w:rsidP="00325736">
      <w:pPr>
        <w:spacing w:before="120" w:after="120"/>
        <w:ind w:firstLine="709"/>
        <w:jc w:val="both"/>
        <w:rPr>
          <w:b/>
          <w:sz w:val="28"/>
          <w:lang w:val="sv-SE"/>
        </w:rPr>
      </w:pPr>
      <w:r w:rsidRPr="00325736">
        <w:rPr>
          <w:b/>
          <w:sz w:val="28"/>
          <w:lang w:val="sv-SE"/>
        </w:rPr>
        <w:t xml:space="preserve">2.3. </w:t>
      </w:r>
      <w:r w:rsidR="00FE16CB" w:rsidRPr="00325736">
        <w:rPr>
          <w:b/>
          <w:sz w:val="28"/>
        </w:rPr>
        <w:t>Về phương án phân bổ ngân sách cấp tỉnh năm 20</w:t>
      </w:r>
      <w:r w:rsidR="00045B58" w:rsidRPr="00325736">
        <w:rPr>
          <w:b/>
          <w:sz w:val="28"/>
          <w:lang w:val="sv-SE"/>
        </w:rPr>
        <w:t>2</w:t>
      </w:r>
      <w:r w:rsidR="000D220B" w:rsidRPr="00325736">
        <w:rPr>
          <w:b/>
          <w:sz w:val="28"/>
          <w:lang w:val="sv-SE"/>
        </w:rPr>
        <w:t>1</w:t>
      </w:r>
    </w:p>
    <w:p w:rsidR="00D52966" w:rsidRPr="00325736" w:rsidRDefault="00D52966" w:rsidP="00325736">
      <w:pPr>
        <w:spacing w:before="120" w:after="120"/>
        <w:ind w:firstLine="709"/>
        <w:jc w:val="both"/>
        <w:rPr>
          <w:sz w:val="28"/>
          <w:szCs w:val="28"/>
          <w:lang w:val="sv-SE"/>
        </w:rPr>
      </w:pPr>
      <w:r w:rsidRPr="00325736">
        <w:rPr>
          <w:sz w:val="28"/>
          <w:szCs w:val="28"/>
          <w:lang w:val="sv-SE"/>
        </w:rPr>
        <w:t xml:space="preserve">Dự toán thu cân đối ngân sách địa phương (bao gồm cả bội chi) </w:t>
      </w:r>
      <w:r w:rsidRPr="00325736">
        <w:rPr>
          <w:bCs/>
          <w:sz w:val="28"/>
          <w:szCs w:val="28"/>
          <w:lang w:val="sv-SE"/>
        </w:rPr>
        <w:t>5.901.125 triệu đồng</w:t>
      </w:r>
      <w:r w:rsidRPr="00325736">
        <w:rPr>
          <w:sz w:val="28"/>
          <w:szCs w:val="28"/>
          <w:lang w:val="sv-SE"/>
        </w:rPr>
        <w:t xml:space="preserve"> triệu đồng, sau khi trừ phần thu cân đối ngân sách huyện thành phố 2.972.734 triệu đồng nêu trên, bội chi ngân sách 83.900 triệu đồng, dự toán thu cân đối ngân sách tỉnh còn lại 2.844.491 triệu đồng. Dự kiến phân bổ cho các nhiệm vụ chi như sau:</w:t>
      </w:r>
    </w:p>
    <w:p w:rsidR="00095211" w:rsidRPr="00325736" w:rsidRDefault="002677D9" w:rsidP="00325736">
      <w:pPr>
        <w:spacing w:before="120" w:after="120"/>
        <w:ind w:firstLine="709"/>
        <w:jc w:val="both"/>
        <w:rPr>
          <w:sz w:val="28"/>
          <w:lang w:val="sv-SE"/>
        </w:rPr>
      </w:pPr>
      <w:r w:rsidRPr="00325736">
        <w:rPr>
          <w:sz w:val="28"/>
        </w:rPr>
        <w:t>-</w:t>
      </w:r>
      <w:r w:rsidR="004C6418" w:rsidRPr="00325736">
        <w:rPr>
          <w:sz w:val="28"/>
        </w:rPr>
        <w:t xml:space="preserve"> </w:t>
      </w:r>
      <w:r w:rsidR="00D52966" w:rsidRPr="00325736">
        <w:rPr>
          <w:sz w:val="28"/>
          <w:szCs w:val="28"/>
          <w:lang w:val="sv-SE"/>
        </w:rPr>
        <w:t>Bổ sung mục tiêu ngân sách huyện, thành phố thực hiện một số nhiệm vụ cụ thể 295.974 triệu đồng, tăng 14,5% so dự toán năm 2020</w:t>
      </w:r>
      <w:r w:rsidR="002440CF" w:rsidRPr="00325736">
        <w:rPr>
          <w:sz w:val="28"/>
        </w:rPr>
        <w:t xml:space="preserve">, gồm: </w:t>
      </w:r>
      <w:r w:rsidR="00D52966" w:rsidRPr="00325736">
        <w:rPr>
          <w:sz w:val="28"/>
          <w:szCs w:val="28"/>
          <w:lang w:val="sv-SE"/>
        </w:rPr>
        <w:t>Bổ sung nhiệm vụ đầu tư phát triển 135.800 triệu đồng, tăng 9,4% so dự toán năm 2020</w:t>
      </w:r>
      <w:r w:rsidR="00095211" w:rsidRPr="00325736">
        <w:rPr>
          <w:sz w:val="28"/>
        </w:rPr>
        <w:t xml:space="preserve">; </w:t>
      </w:r>
      <w:r w:rsidR="00D52966" w:rsidRPr="00325736">
        <w:rPr>
          <w:sz w:val="28"/>
          <w:szCs w:val="28"/>
          <w:lang w:val="sv-SE"/>
        </w:rPr>
        <w:t>Bổ sung nhiệm vụ cụ thể vốn sự nghiệp 160.174 triệu đồng, tăng 19,4% so dự toán năm 2020</w:t>
      </w:r>
      <w:r w:rsidR="00095211" w:rsidRPr="00325736">
        <w:rPr>
          <w:sz w:val="28"/>
        </w:rPr>
        <w:t>.</w:t>
      </w:r>
      <w:r w:rsidR="00A520A1" w:rsidRPr="00325736">
        <w:rPr>
          <w:sz w:val="28"/>
        </w:rPr>
        <w:t xml:space="preserve"> </w:t>
      </w:r>
    </w:p>
    <w:p w:rsidR="00095211" w:rsidRPr="00325736" w:rsidRDefault="002677D9" w:rsidP="00325736">
      <w:pPr>
        <w:spacing w:before="120" w:after="120"/>
        <w:ind w:firstLine="709"/>
        <w:jc w:val="both"/>
        <w:rPr>
          <w:sz w:val="28"/>
        </w:rPr>
      </w:pPr>
      <w:r w:rsidRPr="00325736">
        <w:rPr>
          <w:sz w:val="28"/>
        </w:rPr>
        <w:t>-</w:t>
      </w:r>
      <w:r w:rsidR="004C6418" w:rsidRPr="00325736">
        <w:rPr>
          <w:sz w:val="28"/>
        </w:rPr>
        <w:t xml:space="preserve"> </w:t>
      </w:r>
      <w:r w:rsidR="00D52966" w:rsidRPr="00325736">
        <w:rPr>
          <w:sz w:val="28"/>
          <w:szCs w:val="28"/>
          <w:lang w:val="sv-SE"/>
        </w:rPr>
        <w:t>Chi cân đối ngân sách cấp tỉnh (sau khi loại trừ phần bổ sung mục tiêu ngân sách huyện nêu trên và bội chi ngân sách địa phương) 2.548.517 triệu đồng</w:t>
      </w:r>
      <w:r w:rsidR="00095211" w:rsidRPr="00325736">
        <w:rPr>
          <w:sz w:val="28"/>
        </w:rPr>
        <w:t xml:space="preserve">. Trong đó: </w:t>
      </w:r>
      <w:r w:rsidR="00833656" w:rsidRPr="00325736">
        <w:rPr>
          <w:spacing w:val="-2"/>
          <w:sz w:val="28"/>
          <w:szCs w:val="28"/>
          <w:lang w:val="nl-NL"/>
        </w:rPr>
        <w:t xml:space="preserve">Chi đầu tư phát triển </w:t>
      </w:r>
      <w:r w:rsidR="00D52966" w:rsidRPr="00325736">
        <w:rPr>
          <w:sz w:val="28"/>
          <w:szCs w:val="28"/>
          <w:lang w:val="nl-NL"/>
        </w:rPr>
        <w:t xml:space="preserve">513.733 </w:t>
      </w:r>
      <w:r w:rsidR="00833656" w:rsidRPr="00325736">
        <w:rPr>
          <w:spacing w:val="-2"/>
          <w:sz w:val="28"/>
          <w:szCs w:val="28"/>
          <w:lang w:val="nl-NL"/>
        </w:rPr>
        <w:t>triệu đồng</w:t>
      </w:r>
      <w:r w:rsidR="00095211" w:rsidRPr="00325736">
        <w:rPr>
          <w:sz w:val="28"/>
        </w:rPr>
        <w:t xml:space="preserve">; </w:t>
      </w:r>
      <w:r w:rsidR="00833656" w:rsidRPr="00325736">
        <w:rPr>
          <w:spacing w:val="-2"/>
          <w:sz w:val="28"/>
          <w:szCs w:val="28"/>
          <w:lang w:val="nl-NL"/>
        </w:rPr>
        <w:t xml:space="preserve">Chi thường xuyên </w:t>
      </w:r>
      <w:r w:rsidR="00D52966" w:rsidRPr="00325736">
        <w:rPr>
          <w:sz w:val="28"/>
          <w:szCs w:val="28"/>
          <w:lang w:val="nl-NL"/>
        </w:rPr>
        <w:t xml:space="preserve">1.636.507 </w:t>
      </w:r>
      <w:r w:rsidR="00833656" w:rsidRPr="00325736">
        <w:rPr>
          <w:spacing w:val="-2"/>
          <w:sz w:val="28"/>
          <w:szCs w:val="28"/>
          <w:lang w:val="nl-NL"/>
        </w:rPr>
        <w:t>triệu đồng</w:t>
      </w:r>
      <w:r w:rsidR="00095211" w:rsidRPr="00325736">
        <w:rPr>
          <w:sz w:val="28"/>
        </w:rPr>
        <w:t xml:space="preserve">; </w:t>
      </w:r>
      <w:r w:rsidR="00D52966" w:rsidRPr="00325736">
        <w:rPr>
          <w:sz w:val="28"/>
          <w:szCs w:val="28"/>
          <w:lang w:val="nl-NL"/>
        </w:rPr>
        <w:t>Chi trả nợ lãi vay 2.000 triệu đồng</w:t>
      </w:r>
      <w:r w:rsidR="00095211" w:rsidRPr="00325736">
        <w:rPr>
          <w:sz w:val="28"/>
        </w:rPr>
        <w:t xml:space="preserve">; </w:t>
      </w:r>
      <w:r w:rsidR="00833656" w:rsidRPr="00325736">
        <w:rPr>
          <w:sz w:val="28"/>
          <w:szCs w:val="28"/>
          <w:lang w:val="nl-NL"/>
        </w:rPr>
        <w:t>Chi bổ sung quỹ dự trữ tài chính 1.000 triệu đồng</w:t>
      </w:r>
      <w:r w:rsidR="00095211" w:rsidRPr="00325736">
        <w:rPr>
          <w:sz w:val="28"/>
        </w:rPr>
        <w:t>;</w:t>
      </w:r>
      <w:r w:rsidR="00DA0B7C" w:rsidRPr="00325736">
        <w:rPr>
          <w:sz w:val="28"/>
        </w:rPr>
        <w:t xml:space="preserve"> </w:t>
      </w:r>
      <w:r w:rsidR="00D52966" w:rsidRPr="00325736">
        <w:rPr>
          <w:sz w:val="28"/>
          <w:szCs w:val="28"/>
          <w:lang w:val="nl-NL"/>
        </w:rPr>
        <w:t>Chi từ nguồn tăng thu các dự án khai thác quỹ đất so với dự toán trung ương giao (phân bổ cho các dự án, nhiệm vụ theo tiến độ nguồn thu thực tế) 299.492 triệu đồng</w:t>
      </w:r>
      <w:r w:rsidR="00D52966" w:rsidRPr="00325736">
        <w:rPr>
          <w:sz w:val="28"/>
          <w:szCs w:val="28"/>
          <w:vertAlign w:val="superscript"/>
          <w:lang w:val="nl-NL"/>
        </w:rPr>
        <w:t>(</w:t>
      </w:r>
      <w:r w:rsidR="00D52966" w:rsidRPr="00325736">
        <w:rPr>
          <w:rStyle w:val="FootnoteReference"/>
          <w:sz w:val="28"/>
          <w:szCs w:val="28"/>
          <w:lang w:val="nl-NL"/>
        </w:rPr>
        <w:footnoteReference w:id="16"/>
      </w:r>
      <w:r w:rsidR="00D52966" w:rsidRPr="00325736">
        <w:rPr>
          <w:sz w:val="28"/>
          <w:szCs w:val="28"/>
          <w:vertAlign w:val="superscript"/>
          <w:lang w:val="nl-NL"/>
        </w:rPr>
        <w:t>)</w:t>
      </w:r>
      <w:r w:rsidR="00DA0B7C" w:rsidRPr="00325736">
        <w:rPr>
          <w:sz w:val="28"/>
        </w:rPr>
        <w:t xml:space="preserve">; </w:t>
      </w:r>
      <w:r w:rsidR="00D52966" w:rsidRPr="00325736">
        <w:rPr>
          <w:sz w:val="28"/>
          <w:szCs w:val="28"/>
        </w:rPr>
        <w:t>Chi từ nguồn viện trợ thuộc nguồn thu NSĐP (thực hiện theo hình thức ghi thu ghi chi) 39.000 triệu đồng;</w:t>
      </w:r>
      <w:r w:rsidR="00D52966" w:rsidRPr="00325736">
        <w:rPr>
          <w:sz w:val="28"/>
        </w:rPr>
        <w:t xml:space="preserve"> </w:t>
      </w:r>
      <w:r w:rsidR="00DA0B7C" w:rsidRPr="00325736">
        <w:rPr>
          <w:sz w:val="28"/>
        </w:rPr>
        <w:t xml:space="preserve">chi </w:t>
      </w:r>
      <w:r w:rsidR="00833656" w:rsidRPr="00325736">
        <w:rPr>
          <w:spacing w:val="-2"/>
          <w:sz w:val="28"/>
          <w:szCs w:val="28"/>
          <w:lang w:val="nl-NL"/>
        </w:rPr>
        <w:t xml:space="preserve">dự phòng </w:t>
      </w:r>
      <w:r w:rsidR="00D52966" w:rsidRPr="00325736">
        <w:rPr>
          <w:sz w:val="28"/>
          <w:szCs w:val="28"/>
          <w:lang w:val="nl-NL"/>
        </w:rPr>
        <w:t xml:space="preserve">56.785 </w:t>
      </w:r>
      <w:r w:rsidR="00833656" w:rsidRPr="00325736">
        <w:rPr>
          <w:spacing w:val="-2"/>
          <w:sz w:val="28"/>
          <w:szCs w:val="28"/>
          <w:lang w:val="nl-NL"/>
        </w:rPr>
        <w:t>triệu đồng</w:t>
      </w:r>
      <w:r w:rsidR="00DA0B7C" w:rsidRPr="00325736">
        <w:rPr>
          <w:sz w:val="28"/>
        </w:rPr>
        <w:t>.</w:t>
      </w:r>
    </w:p>
    <w:p w:rsidR="00922B34" w:rsidRPr="00325736" w:rsidRDefault="002677D9" w:rsidP="00325736">
      <w:pPr>
        <w:spacing w:before="120" w:after="120"/>
        <w:ind w:firstLine="709"/>
        <w:jc w:val="both"/>
        <w:rPr>
          <w:b/>
          <w:sz w:val="28"/>
        </w:rPr>
      </w:pPr>
      <w:r w:rsidRPr="00325736">
        <w:rPr>
          <w:b/>
          <w:sz w:val="28"/>
        </w:rPr>
        <w:tab/>
        <w:t xml:space="preserve">2.4. </w:t>
      </w:r>
      <w:r w:rsidR="00002435" w:rsidRPr="00325736">
        <w:rPr>
          <w:b/>
          <w:sz w:val="28"/>
        </w:rPr>
        <w:t>Về nhiệm vụ, giải pháp thực hiện dự toán thu</w:t>
      </w:r>
      <w:r w:rsidR="00EA178A" w:rsidRPr="00325736">
        <w:rPr>
          <w:b/>
          <w:sz w:val="28"/>
        </w:rPr>
        <w:t>,</w:t>
      </w:r>
      <w:r w:rsidR="00002435" w:rsidRPr="00325736">
        <w:rPr>
          <w:b/>
          <w:sz w:val="28"/>
        </w:rPr>
        <w:t xml:space="preserve"> chi ngân sách năm 20</w:t>
      </w:r>
      <w:r w:rsidR="00045B58" w:rsidRPr="00325736">
        <w:rPr>
          <w:b/>
          <w:sz w:val="28"/>
        </w:rPr>
        <w:t>2</w:t>
      </w:r>
      <w:r w:rsidR="00843AF9" w:rsidRPr="00325736">
        <w:rPr>
          <w:b/>
          <w:sz w:val="28"/>
        </w:rPr>
        <w:t>1</w:t>
      </w:r>
    </w:p>
    <w:p w:rsidR="00002435" w:rsidRPr="00325736" w:rsidRDefault="00002435" w:rsidP="00325736">
      <w:pPr>
        <w:spacing w:before="120" w:after="120"/>
        <w:ind w:firstLine="709"/>
        <w:jc w:val="both"/>
        <w:rPr>
          <w:sz w:val="28"/>
        </w:rPr>
      </w:pPr>
      <w:r w:rsidRPr="00325736">
        <w:rPr>
          <w:sz w:val="28"/>
        </w:rPr>
        <w:t xml:space="preserve">Ban Kinh tế - Ngân sách </w:t>
      </w:r>
      <w:r w:rsidR="00C80DC7" w:rsidRPr="00325736">
        <w:rPr>
          <w:sz w:val="28"/>
        </w:rPr>
        <w:t>cơ bản tán thành</w:t>
      </w:r>
      <w:r w:rsidRPr="00325736">
        <w:rPr>
          <w:sz w:val="28"/>
        </w:rPr>
        <w:t xml:space="preserve"> với các nhiệm vụ, giải pháp điều hành thu</w:t>
      </w:r>
      <w:r w:rsidR="00FA2BF1" w:rsidRPr="00325736">
        <w:rPr>
          <w:sz w:val="28"/>
        </w:rPr>
        <w:t>,</w:t>
      </w:r>
      <w:r w:rsidRPr="00325736">
        <w:rPr>
          <w:sz w:val="28"/>
        </w:rPr>
        <w:t xml:space="preserve"> chi ngân sách năm 20</w:t>
      </w:r>
      <w:r w:rsidR="00E12A17" w:rsidRPr="00325736">
        <w:rPr>
          <w:sz w:val="28"/>
        </w:rPr>
        <w:t>2</w:t>
      </w:r>
      <w:r w:rsidR="00843AF9" w:rsidRPr="00325736">
        <w:rPr>
          <w:sz w:val="28"/>
        </w:rPr>
        <w:t>1</w:t>
      </w:r>
      <w:r w:rsidRPr="00325736">
        <w:rPr>
          <w:sz w:val="28"/>
        </w:rPr>
        <w:t xml:space="preserve"> của </w:t>
      </w:r>
      <w:r w:rsidR="00681C4A" w:rsidRPr="00325736">
        <w:rPr>
          <w:sz w:val="28"/>
        </w:rPr>
        <w:t xml:space="preserve">Ủy ban nhân dân </w:t>
      </w:r>
      <w:r w:rsidR="00D2225C" w:rsidRPr="00325736">
        <w:rPr>
          <w:sz w:val="28"/>
        </w:rPr>
        <w:t xml:space="preserve">tỉnh. </w:t>
      </w:r>
      <w:r w:rsidR="00C71BBD" w:rsidRPr="00325736">
        <w:rPr>
          <w:sz w:val="28"/>
        </w:rPr>
        <w:t>Để tiếp tục tăng cường công tác quản lý, điều hành ngân sách địa phương năm 202</w:t>
      </w:r>
      <w:r w:rsidR="00843AF9" w:rsidRPr="00325736">
        <w:rPr>
          <w:sz w:val="28"/>
        </w:rPr>
        <w:t>1</w:t>
      </w:r>
      <w:r w:rsidR="00C71BBD" w:rsidRPr="00325736">
        <w:rPr>
          <w:sz w:val="28"/>
        </w:rPr>
        <w:t>, phấn đấu hoàn thành cao nhất nhiệm vụ thu, chi ngân sách, góp phần thực hiện thắng lợi các mục tiêu, nhiệm vụ phát triển kinh tế - xã hội</w:t>
      </w:r>
      <w:r w:rsidR="00EC5D89" w:rsidRPr="00325736">
        <w:rPr>
          <w:sz w:val="28"/>
        </w:rPr>
        <w:t xml:space="preserve"> </w:t>
      </w:r>
      <w:r w:rsidR="00BB7A1D" w:rsidRPr="00325736">
        <w:rPr>
          <w:sz w:val="28"/>
        </w:rPr>
        <w:t xml:space="preserve">của </w:t>
      </w:r>
      <w:r w:rsidR="00EC5D89" w:rsidRPr="00325736">
        <w:rPr>
          <w:sz w:val="28"/>
        </w:rPr>
        <w:t>năm đầu</w:t>
      </w:r>
      <w:r w:rsidR="00BB7A1D" w:rsidRPr="00325736">
        <w:rPr>
          <w:sz w:val="28"/>
        </w:rPr>
        <w:t xml:space="preserve"> tiên</w:t>
      </w:r>
      <w:r w:rsidR="00EC5D89" w:rsidRPr="00325736">
        <w:rPr>
          <w:sz w:val="28"/>
        </w:rPr>
        <w:t xml:space="preserve"> triển khai thực hiện Nghị quyết Đại hội Đảng bộ tỉnh khóa XVI</w:t>
      </w:r>
      <w:r w:rsidR="00C71BBD" w:rsidRPr="00325736">
        <w:rPr>
          <w:sz w:val="28"/>
        </w:rPr>
        <w:t>. Bên cạnh</w:t>
      </w:r>
      <w:r w:rsidR="008A1511" w:rsidRPr="00325736">
        <w:rPr>
          <w:sz w:val="28"/>
        </w:rPr>
        <w:t xml:space="preserve"> những nhiệm vụ, giải pháp </w:t>
      </w:r>
      <w:r w:rsidR="00C71BBD" w:rsidRPr="00325736">
        <w:rPr>
          <w:sz w:val="28"/>
        </w:rPr>
        <w:t xml:space="preserve">mà </w:t>
      </w:r>
      <w:r w:rsidR="008A1511" w:rsidRPr="00325736">
        <w:rPr>
          <w:sz w:val="28"/>
          <w:szCs w:val="28"/>
          <w:lang w:val="sv-SE"/>
        </w:rPr>
        <w:t xml:space="preserve">Ủy ban nhân dân </w:t>
      </w:r>
      <w:r w:rsidR="008A1511" w:rsidRPr="00325736">
        <w:rPr>
          <w:sz w:val="28"/>
        </w:rPr>
        <w:t xml:space="preserve">tỉnh nêu tại Tờ trình, </w:t>
      </w:r>
      <w:r w:rsidRPr="00325736">
        <w:rPr>
          <w:sz w:val="28"/>
        </w:rPr>
        <w:t xml:space="preserve">Ban </w:t>
      </w:r>
      <w:r w:rsidR="00F75C4E" w:rsidRPr="00325736">
        <w:rPr>
          <w:sz w:val="28"/>
        </w:rPr>
        <w:t xml:space="preserve">đề nghị </w:t>
      </w:r>
      <w:r w:rsidR="006A629C" w:rsidRPr="00325736">
        <w:rPr>
          <w:sz w:val="28"/>
          <w:szCs w:val="28"/>
          <w:lang w:val="sv-SE"/>
        </w:rPr>
        <w:t xml:space="preserve">Ủy ban nhân dân </w:t>
      </w:r>
      <w:r w:rsidR="00F75C4E" w:rsidRPr="00325736">
        <w:rPr>
          <w:sz w:val="28"/>
        </w:rPr>
        <w:t>tỉnh tập trung chỉ đạo</w:t>
      </w:r>
      <w:r w:rsidR="00D2225C" w:rsidRPr="00325736">
        <w:rPr>
          <w:sz w:val="28"/>
        </w:rPr>
        <w:t xml:space="preserve"> một số </w:t>
      </w:r>
      <w:r w:rsidR="008A1511" w:rsidRPr="00325736">
        <w:rPr>
          <w:sz w:val="28"/>
        </w:rPr>
        <w:t>nội dung</w:t>
      </w:r>
      <w:r w:rsidR="00C71BBD" w:rsidRPr="00325736">
        <w:rPr>
          <w:sz w:val="28"/>
        </w:rPr>
        <w:t xml:space="preserve"> cụ thể</w:t>
      </w:r>
      <w:r w:rsidR="008A1511" w:rsidRPr="00325736">
        <w:rPr>
          <w:sz w:val="28"/>
        </w:rPr>
        <w:t xml:space="preserve"> sau</w:t>
      </w:r>
      <w:r w:rsidR="00EA178A" w:rsidRPr="00325736">
        <w:rPr>
          <w:sz w:val="28"/>
        </w:rPr>
        <w:t>:</w:t>
      </w:r>
      <w:r w:rsidR="00843AF9" w:rsidRPr="00325736">
        <w:rPr>
          <w:sz w:val="28"/>
        </w:rPr>
        <w:t xml:space="preserve"> </w:t>
      </w:r>
    </w:p>
    <w:p w:rsidR="0062428D" w:rsidRPr="00325736" w:rsidRDefault="00D17981" w:rsidP="00325736">
      <w:pPr>
        <w:spacing w:before="120" w:after="120"/>
        <w:ind w:firstLine="709"/>
        <w:jc w:val="both"/>
        <w:rPr>
          <w:sz w:val="28"/>
        </w:rPr>
      </w:pPr>
      <w:r w:rsidRPr="00325736">
        <w:rPr>
          <w:sz w:val="28"/>
        </w:rPr>
        <w:t xml:space="preserve">- </w:t>
      </w:r>
      <w:r w:rsidR="0062428D" w:rsidRPr="00325736">
        <w:rPr>
          <w:sz w:val="28"/>
        </w:rPr>
        <w:t>Tiếp tục c</w:t>
      </w:r>
      <w:r w:rsidR="008A1511" w:rsidRPr="00325736">
        <w:rPr>
          <w:sz w:val="28"/>
        </w:rPr>
        <w:t xml:space="preserve">hỉ </w:t>
      </w:r>
      <w:r w:rsidRPr="00325736">
        <w:rPr>
          <w:sz w:val="28"/>
        </w:rPr>
        <w:t xml:space="preserve">đạo </w:t>
      </w:r>
      <w:r w:rsidR="00C71BBD" w:rsidRPr="00325736">
        <w:rPr>
          <w:sz w:val="28"/>
        </w:rPr>
        <w:t xml:space="preserve">điều hành, tổ chức </w:t>
      </w:r>
      <w:r w:rsidRPr="00325736">
        <w:rPr>
          <w:sz w:val="28"/>
        </w:rPr>
        <w:t xml:space="preserve">thực hiện dự toán </w:t>
      </w:r>
      <w:r w:rsidR="00C71BBD" w:rsidRPr="00325736">
        <w:rPr>
          <w:sz w:val="28"/>
        </w:rPr>
        <w:t>ngân sách nhà nước năm 2020</w:t>
      </w:r>
      <w:r w:rsidRPr="00325736">
        <w:rPr>
          <w:sz w:val="28"/>
        </w:rPr>
        <w:t xml:space="preserve">, nhất là </w:t>
      </w:r>
      <w:r w:rsidR="00C71BBD" w:rsidRPr="00325736">
        <w:rPr>
          <w:sz w:val="28"/>
        </w:rPr>
        <w:t xml:space="preserve">nhiệm vụ </w:t>
      </w:r>
      <w:r w:rsidRPr="00325736">
        <w:rPr>
          <w:sz w:val="28"/>
        </w:rPr>
        <w:t>thu ngân sách nhà nước</w:t>
      </w:r>
      <w:r w:rsidR="0062428D" w:rsidRPr="00325736">
        <w:rPr>
          <w:sz w:val="28"/>
        </w:rPr>
        <w:t>.</w:t>
      </w:r>
      <w:r w:rsidR="00BA2198" w:rsidRPr="00325736">
        <w:rPr>
          <w:sz w:val="28"/>
        </w:rPr>
        <w:t xml:space="preserve"> Xây dựng phương án bù hụt thu ngân sách theo đúng quy định.</w:t>
      </w:r>
    </w:p>
    <w:p w:rsidR="00D17981" w:rsidRPr="00325736" w:rsidRDefault="0062428D" w:rsidP="00325736">
      <w:pPr>
        <w:spacing w:before="120" w:after="120"/>
        <w:ind w:firstLine="709"/>
        <w:jc w:val="both"/>
        <w:rPr>
          <w:sz w:val="28"/>
        </w:rPr>
      </w:pPr>
      <w:r w:rsidRPr="00325736">
        <w:rPr>
          <w:sz w:val="28"/>
        </w:rPr>
        <w:t xml:space="preserve">- Kịp thời triển khai thực hiện các giải pháp điều hành ngân sách theo quy định, hướng dẫn của Trung ương. </w:t>
      </w:r>
      <w:r w:rsidR="00564D1D" w:rsidRPr="00325736">
        <w:rPr>
          <w:sz w:val="28"/>
        </w:rPr>
        <w:t>Tiếp tục đẩy nhanh tiến độ giải ngân vốn đầu tư công kịp tiến độ.</w:t>
      </w:r>
    </w:p>
    <w:p w:rsidR="0062428D" w:rsidRPr="00325736" w:rsidRDefault="0062428D" w:rsidP="00325736">
      <w:pPr>
        <w:spacing w:before="120" w:after="120"/>
        <w:ind w:firstLine="709"/>
        <w:jc w:val="both"/>
        <w:rPr>
          <w:sz w:val="28"/>
        </w:rPr>
      </w:pPr>
      <w:r w:rsidRPr="00325736">
        <w:rPr>
          <w:sz w:val="28"/>
        </w:rPr>
        <w:t>- Tăng cường thanh tra, kiểm tra, giám sát công tác quản lý và sử dụng kinh phí hỗ trợ người dân, công tác phòng chống dịch bệnh, thiên tai tại các địa phương</w:t>
      </w:r>
      <w:r w:rsidR="00564D1D" w:rsidRPr="00325736">
        <w:rPr>
          <w:sz w:val="28"/>
        </w:rPr>
        <w:t>, đảm bảo đúng người, đúng quy định.</w:t>
      </w:r>
    </w:p>
    <w:p w:rsidR="00432012" w:rsidRPr="00325736" w:rsidRDefault="00432012" w:rsidP="00325736">
      <w:pPr>
        <w:spacing w:before="120" w:after="120"/>
        <w:ind w:firstLine="709"/>
        <w:jc w:val="both"/>
        <w:rPr>
          <w:sz w:val="28"/>
        </w:rPr>
      </w:pPr>
      <w:r w:rsidRPr="00325736">
        <w:rPr>
          <w:sz w:val="28"/>
        </w:rPr>
        <w:t xml:space="preserve">- Tăng cường công tác thanh tra, kiểm tra, kiểm soát chi ngân sách; siết chặt kỷ luật, kỷ cương tài chính bảo đảm sử dụng tiền, tài sản nhà nước đúng chế độ, tiết kiệm, hiệu quả, công khai, minh bạch; kịp thời phát hiện và xử lý nghiêm các trường hợp vi phạm, sử dụng kinh phí, tài sản nhà nước sai mục đích, không đúng quy định, gây thất thoát, lãng phí. </w:t>
      </w:r>
    </w:p>
    <w:p w:rsidR="00A520A1" w:rsidRPr="00325736" w:rsidRDefault="00A520A1" w:rsidP="00325736">
      <w:pPr>
        <w:spacing w:before="120" w:after="120"/>
        <w:ind w:firstLine="720"/>
        <w:jc w:val="both"/>
        <w:rPr>
          <w:sz w:val="28"/>
          <w:szCs w:val="28"/>
          <w:lang w:val="de-DE"/>
        </w:rPr>
      </w:pPr>
      <w:r w:rsidRPr="00325736">
        <w:rPr>
          <w:sz w:val="28"/>
          <w:szCs w:val="28"/>
          <w:lang w:val="nl-NL"/>
        </w:rPr>
        <w:t xml:space="preserve">- Kiểm soát chặt chẽ, đảm bảo thực hiện đúng quy định về việc </w:t>
      </w:r>
      <w:r w:rsidRPr="00325736">
        <w:rPr>
          <w:sz w:val="28"/>
          <w:szCs w:val="28"/>
          <w:lang w:val="de-DE"/>
        </w:rPr>
        <w:t xml:space="preserve">tạm </w:t>
      </w:r>
      <w:r w:rsidRPr="00325736">
        <w:rPr>
          <w:spacing w:val="2"/>
          <w:sz w:val="28"/>
          <w:szCs w:val="28"/>
          <w:lang w:val="nl-NL"/>
        </w:rPr>
        <w:t>ứng trước kế hoạch vốn</w:t>
      </w:r>
      <w:r w:rsidRPr="00325736">
        <w:rPr>
          <w:sz w:val="28"/>
          <w:szCs w:val="28"/>
          <w:lang w:val="de-DE"/>
        </w:rPr>
        <w:t xml:space="preserve"> ngân sách để thực hiện các chương trình, dự án đầu tư trên địa bàn tỉnh; đồng thời xử lý dứt điểm việc thu hồi vốn </w:t>
      </w:r>
      <w:r w:rsidRPr="00325736">
        <w:rPr>
          <w:spacing w:val="2"/>
          <w:sz w:val="28"/>
          <w:szCs w:val="28"/>
          <w:lang w:val="nl-NL"/>
        </w:rPr>
        <w:t xml:space="preserve">tạm ứng kéo dài qua các năm. </w:t>
      </w:r>
    </w:p>
    <w:p w:rsidR="00A520A1" w:rsidRPr="00325736" w:rsidRDefault="00A520A1" w:rsidP="00325736">
      <w:pPr>
        <w:spacing w:before="120" w:after="120"/>
        <w:ind w:firstLine="709"/>
        <w:jc w:val="both"/>
        <w:rPr>
          <w:sz w:val="28"/>
          <w:szCs w:val="28"/>
          <w:lang w:val="de-DE" w:bidi="en-US"/>
        </w:rPr>
      </w:pPr>
      <w:r w:rsidRPr="00325736">
        <w:rPr>
          <w:sz w:val="28"/>
          <w:szCs w:val="28"/>
          <w:lang w:val="de-DE" w:bidi="en-US"/>
        </w:rPr>
        <w:t>- Chỉ đạo đẩy mạnh ứng dụng công nghệ thông tin trong việc thực hiện các thủ tục thanh toán và giải ngân vốn đầu tư công.</w:t>
      </w:r>
    </w:p>
    <w:p w:rsidR="00A70BBA" w:rsidRPr="00325736" w:rsidRDefault="00575C82" w:rsidP="00325736">
      <w:pPr>
        <w:spacing w:before="120" w:after="120"/>
        <w:ind w:firstLine="709"/>
        <w:jc w:val="both"/>
        <w:rPr>
          <w:sz w:val="28"/>
        </w:rPr>
      </w:pPr>
      <w:r w:rsidRPr="00325736">
        <w:rPr>
          <w:sz w:val="28"/>
        </w:rPr>
        <w:t>-</w:t>
      </w:r>
      <w:r w:rsidR="00A70BBA" w:rsidRPr="00325736">
        <w:rPr>
          <w:sz w:val="28"/>
        </w:rPr>
        <w:t xml:space="preserve"> Chỉ đạo các sở, ngành, địa phương thực hiện </w:t>
      </w:r>
      <w:r w:rsidR="00627538" w:rsidRPr="00325736">
        <w:rPr>
          <w:sz w:val="28"/>
          <w:lang w:val="de-DE"/>
        </w:rPr>
        <w:t xml:space="preserve">nghiêm túc </w:t>
      </w:r>
      <w:r w:rsidR="00A70BBA" w:rsidRPr="00325736">
        <w:rPr>
          <w:sz w:val="28"/>
        </w:rPr>
        <w:t>các kết luận</w:t>
      </w:r>
      <w:r w:rsidR="00D03EE6" w:rsidRPr="00325736">
        <w:rPr>
          <w:sz w:val="28"/>
        </w:rPr>
        <w:t>, kiến nghị</w:t>
      </w:r>
      <w:r w:rsidR="00A70BBA" w:rsidRPr="00325736">
        <w:rPr>
          <w:sz w:val="28"/>
        </w:rPr>
        <w:t xml:space="preserve"> của Kiểm toán nhà nước</w:t>
      </w:r>
      <w:r w:rsidR="00A520A1" w:rsidRPr="00325736">
        <w:rPr>
          <w:sz w:val="28"/>
        </w:rPr>
        <w:t>; các kết quả giám sát của HĐND, các Ban HĐND</w:t>
      </w:r>
    </w:p>
    <w:p w:rsidR="00151A66" w:rsidRPr="00325736" w:rsidRDefault="00151A66" w:rsidP="00325736">
      <w:pPr>
        <w:spacing w:before="120" w:after="120"/>
        <w:ind w:firstLine="709"/>
        <w:jc w:val="both"/>
        <w:rPr>
          <w:b/>
          <w:sz w:val="28"/>
        </w:rPr>
      </w:pPr>
      <w:r w:rsidRPr="00325736">
        <w:rPr>
          <w:b/>
          <w:sz w:val="28"/>
        </w:rPr>
        <w:t>2.5. Một số nội dung đề xuất, kiến nghị</w:t>
      </w:r>
    </w:p>
    <w:p w:rsidR="009B6B55" w:rsidRPr="00325736" w:rsidRDefault="009B6B55" w:rsidP="00325736">
      <w:pPr>
        <w:spacing w:before="120" w:after="120"/>
        <w:ind w:firstLine="709"/>
        <w:jc w:val="both"/>
        <w:rPr>
          <w:rFonts w:eastAsia="Calibri"/>
          <w:sz w:val="28"/>
          <w:szCs w:val="28"/>
        </w:rPr>
      </w:pPr>
      <w:r w:rsidRPr="00325736">
        <w:rPr>
          <w:rFonts w:eastAsia="Calibri"/>
          <w:sz w:val="28"/>
          <w:szCs w:val="28"/>
        </w:rPr>
        <w:t>Trên cơ sở ý kiến tham gia thảo luận của các đại biểu tại cuộc họp thẩm tra, Ban Kinh tế - Ngân sách Hội đồng nhân dân tỉnh đề nghị Ủy ban nhân dân tỉnh tiếp thu, giải trình một số nội dung sau:</w:t>
      </w:r>
    </w:p>
    <w:p w:rsidR="006123C9" w:rsidRPr="00325736" w:rsidRDefault="006123C9" w:rsidP="00325736">
      <w:pPr>
        <w:spacing w:before="120" w:after="120"/>
        <w:ind w:firstLine="709"/>
        <w:jc w:val="both"/>
        <w:rPr>
          <w:bCs/>
          <w:sz w:val="28"/>
          <w:szCs w:val="28"/>
          <w:lang w:val="nl-NL"/>
        </w:rPr>
      </w:pPr>
      <w:r w:rsidRPr="00325736">
        <w:rPr>
          <w:bCs/>
          <w:sz w:val="28"/>
          <w:szCs w:val="28"/>
          <w:lang w:val="nl-NL"/>
        </w:rPr>
        <w:t xml:space="preserve">- Bổ sung phần căn cứ pháp lý trong dự thảo Nghị quyết: </w:t>
      </w:r>
    </w:p>
    <w:p w:rsidR="00BB7A1D" w:rsidRPr="00325736" w:rsidRDefault="00BB7A1D" w:rsidP="00325736">
      <w:pPr>
        <w:spacing w:before="120" w:after="120"/>
        <w:ind w:firstLine="709"/>
        <w:jc w:val="both"/>
        <w:rPr>
          <w:bCs/>
          <w:sz w:val="28"/>
          <w:szCs w:val="28"/>
          <w:lang w:val="nl-NL"/>
        </w:rPr>
      </w:pPr>
      <w:r w:rsidRPr="00325736">
        <w:rPr>
          <w:bCs/>
          <w:sz w:val="28"/>
          <w:szCs w:val="28"/>
          <w:lang w:val="nl-NL"/>
        </w:rPr>
        <w:t>“</w:t>
      </w:r>
      <w:r w:rsidRPr="00325736">
        <w:rPr>
          <w:bCs/>
          <w:i/>
          <w:iCs/>
          <w:sz w:val="28"/>
          <w:szCs w:val="28"/>
          <w:lang w:val="nl-NL"/>
        </w:rPr>
        <w:t>Căn cứ Luật Quản lý nợ công ngày 23 tháng 11 năm 2017;</w:t>
      </w:r>
    </w:p>
    <w:p w:rsidR="00BB7A1D" w:rsidRPr="00325736" w:rsidRDefault="00BB7A1D" w:rsidP="00325736">
      <w:pPr>
        <w:spacing w:before="120" w:after="120"/>
        <w:ind w:firstLine="709"/>
        <w:jc w:val="both"/>
        <w:rPr>
          <w:bCs/>
          <w:i/>
          <w:sz w:val="28"/>
          <w:szCs w:val="28"/>
          <w:lang w:val="nl-NL"/>
        </w:rPr>
      </w:pPr>
      <w:r w:rsidRPr="00325736">
        <w:rPr>
          <w:bCs/>
          <w:i/>
          <w:sz w:val="28"/>
          <w:szCs w:val="28"/>
          <w:lang w:val="nl-NL"/>
        </w:rPr>
        <w:t>Căn cứ Nghị quyết số 122/2020/QH14 ngày 19 tháng 6 năm 2020 về Kỳ họp thứ 9, Quốc hội khóa XIV;</w:t>
      </w:r>
    </w:p>
    <w:p w:rsidR="00BB7A1D" w:rsidRPr="00325736" w:rsidRDefault="00BB7A1D" w:rsidP="00325736">
      <w:pPr>
        <w:spacing w:before="120" w:after="120"/>
        <w:ind w:firstLine="709"/>
        <w:jc w:val="both"/>
        <w:rPr>
          <w:bCs/>
          <w:sz w:val="28"/>
          <w:szCs w:val="28"/>
          <w:lang w:val="nl-NL"/>
        </w:rPr>
      </w:pPr>
      <w:r w:rsidRPr="00325736">
        <w:rPr>
          <w:bCs/>
          <w:i/>
          <w:sz w:val="28"/>
          <w:szCs w:val="28"/>
          <w:lang w:val="nl-NL"/>
        </w:rPr>
        <w:t xml:space="preserve">Căn cứ </w:t>
      </w:r>
      <w:r w:rsidRPr="00325736">
        <w:rPr>
          <w:bCs/>
          <w:i/>
          <w:sz w:val="28"/>
          <w:szCs w:val="28"/>
        </w:rPr>
        <w:t xml:space="preserve">Thông tư số </w:t>
      </w:r>
      <w:r w:rsidRPr="00325736">
        <w:rPr>
          <w:bCs/>
          <w:i/>
          <w:sz w:val="28"/>
          <w:szCs w:val="28"/>
          <w:lang w:val="nl-NL"/>
        </w:rPr>
        <w:t>71</w:t>
      </w:r>
      <w:r w:rsidRPr="00325736">
        <w:rPr>
          <w:bCs/>
          <w:i/>
          <w:sz w:val="28"/>
          <w:szCs w:val="28"/>
        </w:rPr>
        <w:t>/20</w:t>
      </w:r>
      <w:r w:rsidRPr="00325736">
        <w:rPr>
          <w:bCs/>
          <w:i/>
          <w:sz w:val="28"/>
          <w:szCs w:val="28"/>
          <w:lang w:val="nl-NL"/>
        </w:rPr>
        <w:t>20</w:t>
      </w:r>
      <w:r w:rsidRPr="00325736">
        <w:rPr>
          <w:bCs/>
          <w:i/>
          <w:sz w:val="28"/>
          <w:szCs w:val="28"/>
        </w:rPr>
        <w:t xml:space="preserve">/TT-BTC ngày </w:t>
      </w:r>
      <w:r w:rsidRPr="00325736">
        <w:rPr>
          <w:bCs/>
          <w:i/>
          <w:sz w:val="28"/>
          <w:szCs w:val="28"/>
          <w:lang w:val="nl-NL"/>
        </w:rPr>
        <w:t>30</w:t>
      </w:r>
      <w:r w:rsidRPr="00325736">
        <w:rPr>
          <w:bCs/>
          <w:i/>
          <w:sz w:val="28"/>
          <w:szCs w:val="28"/>
        </w:rPr>
        <w:t xml:space="preserve"> tháng </w:t>
      </w:r>
      <w:r w:rsidRPr="00325736">
        <w:rPr>
          <w:bCs/>
          <w:i/>
          <w:sz w:val="28"/>
          <w:szCs w:val="28"/>
          <w:lang w:val="nl-NL"/>
        </w:rPr>
        <w:t>7</w:t>
      </w:r>
      <w:r w:rsidRPr="00325736">
        <w:rPr>
          <w:bCs/>
          <w:i/>
          <w:sz w:val="28"/>
          <w:szCs w:val="28"/>
        </w:rPr>
        <w:t xml:space="preserve"> năm 20</w:t>
      </w:r>
      <w:r w:rsidRPr="00325736">
        <w:rPr>
          <w:bCs/>
          <w:i/>
          <w:sz w:val="28"/>
          <w:szCs w:val="28"/>
          <w:lang w:val="nl-NL"/>
        </w:rPr>
        <w:t>20</w:t>
      </w:r>
      <w:r w:rsidRPr="00325736">
        <w:rPr>
          <w:bCs/>
          <w:i/>
          <w:sz w:val="28"/>
          <w:szCs w:val="28"/>
        </w:rPr>
        <w:t xml:space="preserve"> của Bộ trưởng Bộ Tài chính về hướng dẫn xây dựng dự toán ngân sách năm 202</w:t>
      </w:r>
      <w:r w:rsidRPr="00325736">
        <w:rPr>
          <w:bCs/>
          <w:i/>
          <w:sz w:val="28"/>
          <w:szCs w:val="28"/>
          <w:lang w:val="nl-NL"/>
        </w:rPr>
        <w:t>1</w:t>
      </w:r>
      <w:r w:rsidRPr="00325736">
        <w:rPr>
          <w:bCs/>
          <w:i/>
          <w:sz w:val="28"/>
          <w:szCs w:val="28"/>
        </w:rPr>
        <w:t>, kế hoạch tài chính - ngân sách nhà nước 03 năm 202</w:t>
      </w:r>
      <w:r w:rsidRPr="00325736">
        <w:rPr>
          <w:bCs/>
          <w:i/>
          <w:sz w:val="28"/>
          <w:szCs w:val="28"/>
          <w:lang w:val="nl-NL"/>
        </w:rPr>
        <w:t>1</w:t>
      </w:r>
      <w:r w:rsidRPr="00325736">
        <w:rPr>
          <w:bCs/>
          <w:i/>
          <w:sz w:val="28"/>
          <w:szCs w:val="28"/>
        </w:rPr>
        <w:t xml:space="preserve"> - 202</w:t>
      </w:r>
      <w:r w:rsidRPr="00325736">
        <w:rPr>
          <w:bCs/>
          <w:i/>
          <w:sz w:val="28"/>
          <w:szCs w:val="28"/>
          <w:lang w:val="nl-NL"/>
        </w:rPr>
        <w:t>3;</w:t>
      </w:r>
      <w:r w:rsidRPr="00325736">
        <w:rPr>
          <w:bCs/>
          <w:sz w:val="28"/>
          <w:szCs w:val="28"/>
          <w:lang w:val="nl-NL"/>
        </w:rPr>
        <w:t>”.</w:t>
      </w:r>
    </w:p>
    <w:p w:rsidR="00A65D56" w:rsidRPr="00325736" w:rsidRDefault="00D96713" w:rsidP="00325736">
      <w:pPr>
        <w:spacing w:before="120" w:after="120"/>
        <w:ind w:firstLine="709"/>
        <w:jc w:val="both"/>
        <w:rPr>
          <w:sz w:val="28"/>
          <w:szCs w:val="28"/>
          <w:lang w:val="sv-SE"/>
        </w:rPr>
      </w:pPr>
      <w:r w:rsidRPr="00325736">
        <w:rPr>
          <w:sz w:val="28"/>
          <w:szCs w:val="28"/>
          <w:lang w:val="sv-SE"/>
        </w:rPr>
        <w:t xml:space="preserve">- </w:t>
      </w:r>
      <w:r w:rsidR="006053B6" w:rsidRPr="00325736">
        <w:rPr>
          <w:sz w:val="28"/>
          <w:szCs w:val="28"/>
          <w:lang w:val="sv-SE"/>
        </w:rPr>
        <w:t>D</w:t>
      </w:r>
      <w:r w:rsidRPr="00325736">
        <w:rPr>
          <w:sz w:val="28"/>
          <w:szCs w:val="28"/>
          <w:lang w:val="sv-SE"/>
        </w:rPr>
        <w:t xml:space="preserve">ự toán thu, chi ngân sách </w:t>
      </w:r>
      <w:r w:rsidR="006053B6" w:rsidRPr="00325736">
        <w:rPr>
          <w:sz w:val="28"/>
          <w:szCs w:val="28"/>
          <w:lang w:val="sv-SE"/>
        </w:rPr>
        <w:t xml:space="preserve">địa phương </w:t>
      </w:r>
      <w:r w:rsidRPr="00325736">
        <w:rPr>
          <w:sz w:val="28"/>
          <w:szCs w:val="28"/>
          <w:lang w:val="sv-SE"/>
        </w:rPr>
        <w:t xml:space="preserve">năm 2021 có </w:t>
      </w:r>
      <w:r w:rsidR="00A65D56" w:rsidRPr="00325736">
        <w:rPr>
          <w:sz w:val="28"/>
          <w:szCs w:val="28"/>
          <w:lang w:val="sv-SE"/>
        </w:rPr>
        <w:t>nội dung g</w:t>
      </w:r>
      <w:r w:rsidRPr="00325736">
        <w:rPr>
          <w:sz w:val="28"/>
          <w:szCs w:val="28"/>
          <w:lang w:val="sv-SE"/>
        </w:rPr>
        <w:t>hi thu</w:t>
      </w:r>
      <w:r w:rsidR="00A65D56" w:rsidRPr="00325736">
        <w:rPr>
          <w:sz w:val="28"/>
          <w:szCs w:val="28"/>
          <w:lang w:val="sv-SE"/>
        </w:rPr>
        <w:t>, ghi chi</w:t>
      </w:r>
      <w:r w:rsidRPr="00325736">
        <w:rPr>
          <w:sz w:val="28"/>
          <w:szCs w:val="28"/>
          <w:lang w:val="sv-SE"/>
        </w:rPr>
        <w:t xml:space="preserve"> tiền thuê đất, tiền sử dụng đất tương ứng số tiền đền bù </w:t>
      </w:r>
      <w:r w:rsidR="00A65D56" w:rsidRPr="00325736">
        <w:rPr>
          <w:sz w:val="28"/>
          <w:szCs w:val="28"/>
          <w:lang w:val="sv-SE"/>
        </w:rPr>
        <w:t xml:space="preserve">giải phóng mặt bằng </w:t>
      </w:r>
      <w:r w:rsidRPr="00325736">
        <w:rPr>
          <w:sz w:val="28"/>
          <w:szCs w:val="28"/>
          <w:lang w:val="sv-SE"/>
        </w:rPr>
        <w:t xml:space="preserve">của các </w:t>
      </w:r>
      <w:r w:rsidR="00A65D56" w:rsidRPr="00325736">
        <w:rPr>
          <w:sz w:val="28"/>
          <w:szCs w:val="28"/>
          <w:lang w:val="sv-SE"/>
        </w:rPr>
        <w:t>dự án</w:t>
      </w:r>
      <w:r w:rsidRPr="00325736">
        <w:rPr>
          <w:sz w:val="28"/>
          <w:szCs w:val="28"/>
          <w:lang w:val="sv-SE"/>
        </w:rPr>
        <w:t xml:space="preserve"> đầu tư mà nhà đầu tư đã tự nguyện ứng trước</w:t>
      </w:r>
      <w:r w:rsidR="00A65D56" w:rsidRPr="00325736">
        <w:rPr>
          <w:sz w:val="28"/>
          <w:szCs w:val="28"/>
          <w:lang w:val="sv-SE"/>
        </w:rPr>
        <w:t xml:space="preserve">. </w:t>
      </w:r>
      <w:r w:rsidR="00A65D56" w:rsidRPr="00325736">
        <w:rPr>
          <w:spacing w:val="-4"/>
          <w:sz w:val="28"/>
          <w:szCs w:val="28"/>
          <w:lang w:val="nl-NL"/>
        </w:rPr>
        <w:t>Đề nghị Ủy ban nhân dân tỉnh chỉ đạo thực hiện theo đúng qui định của Luật Ngân sách</w:t>
      </w:r>
      <w:r w:rsidR="006053B6" w:rsidRPr="00325736">
        <w:rPr>
          <w:spacing w:val="-4"/>
          <w:sz w:val="28"/>
          <w:szCs w:val="28"/>
          <w:lang w:val="nl-NL"/>
        </w:rPr>
        <w:t xml:space="preserve"> nhà nước</w:t>
      </w:r>
      <w:r w:rsidR="00A65D56" w:rsidRPr="00325736">
        <w:rPr>
          <w:spacing w:val="-4"/>
          <w:sz w:val="28"/>
          <w:szCs w:val="28"/>
          <w:lang w:val="nl-NL"/>
        </w:rPr>
        <w:t>, Luật đất đai và các văn bản hướng dẫn hiện hành.</w:t>
      </w:r>
      <w:r w:rsidR="0056015F" w:rsidRPr="00325736">
        <w:rPr>
          <w:spacing w:val="-4"/>
          <w:sz w:val="28"/>
          <w:szCs w:val="28"/>
          <w:lang w:val="nl-NL"/>
        </w:rPr>
        <w:t xml:space="preserve"> </w:t>
      </w:r>
    </w:p>
    <w:p w:rsidR="002B28C0" w:rsidRPr="00325736" w:rsidRDefault="00084594" w:rsidP="00325736">
      <w:pPr>
        <w:spacing w:before="120" w:after="120"/>
        <w:ind w:firstLine="709"/>
        <w:jc w:val="both"/>
        <w:rPr>
          <w:sz w:val="28"/>
          <w:szCs w:val="28"/>
          <w:lang w:val="sv-SE"/>
        </w:rPr>
      </w:pPr>
      <w:r w:rsidRPr="00325736">
        <w:rPr>
          <w:sz w:val="28"/>
          <w:szCs w:val="28"/>
          <w:lang w:val="sv-SE"/>
        </w:rPr>
        <w:t xml:space="preserve">- </w:t>
      </w:r>
      <w:r w:rsidR="00BF73F3" w:rsidRPr="00325736">
        <w:rPr>
          <w:sz w:val="28"/>
          <w:szCs w:val="28"/>
          <w:lang w:val="sv-SE"/>
        </w:rPr>
        <w:t>Đề nghị Ủy ban nhân dân tỉnh chỉ đạo</w:t>
      </w:r>
      <w:r w:rsidR="0056015F" w:rsidRPr="00325736">
        <w:rPr>
          <w:sz w:val="28"/>
          <w:szCs w:val="28"/>
          <w:lang w:val="sv-SE"/>
        </w:rPr>
        <w:t xml:space="preserve"> </w:t>
      </w:r>
      <w:r w:rsidR="0056015F" w:rsidRPr="00325736">
        <w:rPr>
          <w:sz w:val="28"/>
          <w:szCs w:val="28"/>
          <w:lang w:val="nl-NL"/>
        </w:rPr>
        <w:t xml:space="preserve">rà soát, cập nhật, </w:t>
      </w:r>
      <w:r w:rsidR="0056015F" w:rsidRPr="00325736">
        <w:rPr>
          <w:sz w:val="28"/>
          <w:szCs w:val="28"/>
          <w:lang w:val="sv-SE"/>
        </w:rPr>
        <w:t xml:space="preserve">điều chỉnh dự toán thu, chi ngân sách </w:t>
      </w:r>
      <w:r w:rsidR="0056015F" w:rsidRPr="00325736">
        <w:rPr>
          <w:sz w:val="28"/>
          <w:szCs w:val="28"/>
          <w:lang w:val="nl-NL"/>
        </w:rPr>
        <w:t xml:space="preserve">đảm bảo phù hợp với </w:t>
      </w:r>
      <w:r w:rsidR="0056015F" w:rsidRPr="00325736">
        <w:rPr>
          <w:sz w:val="28"/>
          <w:szCs w:val="28"/>
          <w:lang w:val="sv-SE"/>
        </w:rPr>
        <w:t>Nghị quyết Hội nghị lần thứ hai Ban chấp hành Đảng bộ tỉnh về lãnh đạo thực hiện nhiệm vụ kinh tế - xã hội, quốc phòng, an ninh, xây dựng Đảng và hệ thống chính trị năm 2021</w:t>
      </w:r>
      <w:r w:rsidR="00BB59F7" w:rsidRPr="00325736">
        <w:rPr>
          <w:sz w:val="28"/>
          <w:szCs w:val="28"/>
          <w:lang w:val="sv-SE"/>
        </w:rPr>
        <w:t xml:space="preserve"> </w:t>
      </w:r>
      <w:r w:rsidR="0056015F" w:rsidRPr="00325736">
        <w:rPr>
          <w:sz w:val="28"/>
          <w:szCs w:val="28"/>
          <w:lang w:val="sv-SE"/>
        </w:rPr>
        <w:t xml:space="preserve">và chỉ đạo của Ban Thường vụ Tỉnh ủy; đảm bảo </w:t>
      </w:r>
      <w:r w:rsidR="00BF73F3" w:rsidRPr="00325736">
        <w:rPr>
          <w:sz w:val="28"/>
          <w:szCs w:val="28"/>
          <w:lang w:val="sv-SE"/>
        </w:rPr>
        <w:t xml:space="preserve">số liệu phân bổ các nguồn vốn đầu tư cho khớp đúng giữa dự toán thu, chi </w:t>
      </w:r>
      <w:r w:rsidR="00DB56DD" w:rsidRPr="00325736">
        <w:rPr>
          <w:sz w:val="28"/>
          <w:szCs w:val="28"/>
          <w:lang w:val="sv-SE"/>
        </w:rPr>
        <w:t xml:space="preserve">và các nội dung liên quan đến kế hoạch đầu tư </w:t>
      </w:r>
      <w:r w:rsidR="00A520A1" w:rsidRPr="00325736">
        <w:rPr>
          <w:sz w:val="28"/>
          <w:szCs w:val="28"/>
        </w:rPr>
        <w:t xml:space="preserve">công </w:t>
      </w:r>
      <w:r w:rsidR="00DB56DD" w:rsidRPr="00325736">
        <w:rPr>
          <w:sz w:val="28"/>
          <w:szCs w:val="28"/>
          <w:lang w:val="sv-SE"/>
        </w:rPr>
        <w:t>trong năm 2021</w:t>
      </w:r>
      <w:r w:rsidR="006053B6" w:rsidRPr="00325736">
        <w:rPr>
          <w:sz w:val="28"/>
          <w:szCs w:val="28"/>
          <w:lang w:val="sv-SE"/>
        </w:rPr>
        <w:t xml:space="preserve"> </w:t>
      </w:r>
      <w:r w:rsidR="0056015F" w:rsidRPr="00651B89">
        <w:rPr>
          <w:i/>
          <w:sz w:val="28"/>
          <w:szCs w:val="28"/>
          <w:lang w:val="sv-SE"/>
        </w:rPr>
        <w:t xml:space="preserve">(nguồn </w:t>
      </w:r>
      <w:r w:rsidR="0056015F" w:rsidRPr="00651B89">
        <w:rPr>
          <w:i/>
          <w:sz w:val="28"/>
          <w:szCs w:val="28"/>
        </w:rPr>
        <w:t xml:space="preserve">vốn sử dụng đất, </w:t>
      </w:r>
      <w:r w:rsidR="0056015F" w:rsidRPr="00651B89">
        <w:rPr>
          <w:i/>
          <w:sz w:val="28"/>
          <w:szCs w:val="28"/>
          <w:lang w:val="sv-SE"/>
        </w:rPr>
        <w:t>xổ số kiến thiết...)</w:t>
      </w:r>
      <w:r w:rsidR="00BD0669" w:rsidRPr="00651B89">
        <w:rPr>
          <w:i/>
          <w:sz w:val="28"/>
          <w:szCs w:val="28"/>
          <w:lang w:val="sv-SE"/>
        </w:rPr>
        <w:t>.</w:t>
      </w:r>
    </w:p>
    <w:p w:rsidR="007E06BC" w:rsidRPr="00325736" w:rsidRDefault="007E06BC" w:rsidP="00325736">
      <w:pPr>
        <w:spacing w:before="120" w:after="120"/>
        <w:ind w:firstLine="709"/>
        <w:jc w:val="both"/>
        <w:rPr>
          <w:sz w:val="28"/>
        </w:rPr>
      </w:pPr>
      <w:r w:rsidRPr="00325736">
        <w:rPr>
          <w:sz w:val="28"/>
        </w:rPr>
        <w:t>Trên đây là báo cáo thẩm tra của Ban Kinh tế - Ngân sách.</w:t>
      </w:r>
      <w:r w:rsidR="005F6527" w:rsidRPr="00325736">
        <w:rPr>
          <w:sz w:val="28"/>
        </w:rPr>
        <w:t xml:space="preserve"> </w:t>
      </w:r>
      <w:r w:rsidRPr="00325736">
        <w:rPr>
          <w:sz w:val="28"/>
        </w:rPr>
        <w:t xml:space="preserve">Kính trình Hội đồng nhân dân tỉnh </w:t>
      </w:r>
      <w:r w:rsidR="00556DF1" w:rsidRPr="00325736">
        <w:rPr>
          <w:sz w:val="28"/>
        </w:rPr>
        <w:t xml:space="preserve">Khóa </w:t>
      </w:r>
      <w:r w:rsidRPr="00325736">
        <w:rPr>
          <w:sz w:val="28"/>
        </w:rPr>
        <w:t xml:space="preserve">XI </w:t>
      </w:r>
      <w:r w:rsidR="00556DF1" w:rsidRPr="00325736">
        <w:rPr>
          <w:sz w:val="28"/>
        </w:rPr>
        <w:t xml:space="preserve">Kỳ </w:t>
      </w:r>
      <w:r w:rsidRPr="00325736">
        <w:rPr>
          <w:sz w:val="28"/>
        </w:rPr>
        <w:t xml:space="preserve">họp thứ </w:t>
      </w:r>
      <w:r w:rsidR="00047E17" w:rsidRPr="00325736">
        <w:rPr>
          <w:sz w:val="28"/>
        </w:rPr>
        <w:t>11</w:t>
      </w:r>
      <w:r w:rsidRPr="00325736">
        <w:rPr>
          <w:sz w:val="28"/>
        </w:rPr>
        <w:t xml:space="preserve"> xem xét, quyết định./.</w:t>
      </w:r>
    </w:p>
    <w:tbl>
      <w:tblPr>
        <w:tblW w:w="5000" w:type="pct"/>
        <w:tblLook w:val="01E0" w:firstRow="1" w:lastRow="1" w:firstColumn="1" w:lastColumn="1" w:noHBand="0" w:noVBand="0"/>
      </w:tblPr>
      <w:tblGrid>
        <w:gridCol w:w="4132"/>
        <w:gridCol w:w="5298"/>
      </w:tblGrid>
      <w:tr w:rsidR="003940FF" w:rsidRPr="00325736" w:rsidTr="00341559">
        <w:tc>
          <w:tcPr>
            <w:tcW w:w="2191" w:type="pct"/>
            <w:shd w:val="clear" w:color="auto" w:fill="auto"/>
          </w:tcPr>
          <w:p w:rsidR="00852FDD" w:rsidRPr="00325736" w:rsidRDefault="00852FDD" w:rsidP="00AF0960">
            <w:pPr>
              <w:spacing w:before="60"/>
              <w:ind w:right="-514"/>
              <w:jc w:val="both"/>
              <w:rPr>
                <w:b/>
                <w:i/>
              </w:rPr>
            </w:pPr>
            <w:r w:rsidRPr="00325736">
              <w:rPr>
                <w:b/>
                <w:i/>
              </w:rPr>
              <w:t>Nơi nhận:</w:t>
            </w:r>
          </w:p>
          <w:p w:rsidR="00852FDD" w:rsidRPr="00325736" w:rsidRDefault="00852FDD" w:rsidP="00AF0960">
            <w:pPr>
              <w:ind w:right="-514"/>
              <w:jc w:val="both"/>
              <w:rPr>
                <w:sz w:val="22"/>
              </w:rPr>
            </w:pPr>
            <w:r w:rsidRPr="00325736">
              <w:rPr>
                <w:sz w:val="22"/>
              </w:rPr>
              <w:t>- Thường trực HĐND tỉnh;</w:t>
            </w:r>
          </w:p>
          <w:p w:rsidR="00B94BD9" w:rsidRPr="00325736" w:rsidRDefault="00B94BD9" w:rsidP="00AF0960">
            <w:pPr>
              <w:ind w:right="-514"/>
              <w:jc w:val="both"/>
              <w:rPr>
                <w:sz w:val="22"/>
              </w:rPr>
            </w:pPr>
            <w:r w:rsidRPr="00325736">
              <w:rPr>
                <w:sz w:val="22"/>
              </w:rPr>
              <w:t>- UBND tỉnh;</w:t>
            </w:r>
          </w:p>
          <w:p w:rsidR="00852FDD" w:rsidRPr="00325736" w:rsidRDefault="00852FDD" w:rsidP="00AF0960">
            <w:pPr>
              <w:ind w:right="-514"/>
              <w:jc w:val="both"/>
              <w:rPr>
                <w:sz w:val="22"/>
              </w:rPr>
            </w:pPr>
            <w:r w:rsidRPr="00325736">
              <w:rPr>
                <w:sz w:val="22"/>
              </w:rPr>
              <w:t>- Đại biểu HĐND tỉnh;</w:t>
            </w:r>
          </w:p>
          <w:p w:rsidR="00852FDD" w:rsidRPr="00325736" w:rsidRDefault="00852FDD" w:rsidP="007E06BC">
            <w:pPr>
              <w:ind w:right="-514"/>
              <w:jc w:val="both"/>
            </w:pPr>
            <w:r w:rsidRPr="00325736">
              <w:rPr>
                <w:sz w:val="22"/>
              </w:rPr>
              <w:t>- Lưu: VT, KT-NS</w:t>
            </w:r>
            <w:r w:rsidRPr="00325736">
              <w:rPr>
                <w:sz w:val="14"/>
              </w:rPr>
              <w:t>.</w:t>
            </w:r>
          </w:p>
        </w:tc>
        <w:tc>
          <w:tcPr>
            <w:tcW w:w="2809" w:type="pct"/>
            <w:shd w:val="clear" w:color="auto" w:fill="auto"/>
          </w:tcPr>
          <w:p w:rsidR="00852FDD" w:rsidRPr="00325736" w:rsidRDefault="00852FDD" w:rsidP="00AF0960">
            <w:pPr>
              <w:spacing w:before="60"/>
              <w:ind w:right="-514" w:hanging="114"/>
              <w:jc w:val="center"/>
              <w:rPr>
                <w:b/>
                <w:sz w:val="28"/>
              </w:rPr>
            </w:pPr>
            <w:r w:rsidRPr="00325736">
              <w:rPr>
                <w:b/>
                <w:sz w:val="28"/>
              </w:rPr>
              <w:t xml:space="preserve">TM. BAN KINH TẾ </w:t>
            </w:r>
            <w:r w:rsidR="007E06BC" w:rsidRPr="00325736">
              <w:rPr>
                <w:b/>
                <w:sz w:val="28"/>
              </w:rPr>
              <w:t>-</w:t>
            </w:r>
            <w:r w:rsidRPr="00325736">
              <w:rPr>
                <w:b/>
                <w:sz w:val="28"/>
              </w:rPr>
              <w:t xml:space="preserve"> NGÂN SÁCH</w:t>
            </w:r>
          </w:p>
          <w:p w:rsidR="00852FDD" w:rsidRPr="00325736" w:rsidRDefault="00852FDD" w:rsidP="00AF0960">
            <w:pPr>
              <w:ind w:right="-514"/>
              <w:jc w:val="center"/>
              <w:rPr>
                <w:b/>
                <w:sz w:val="28"/>
              </w:rPr>
            </w:pPr>
            <w:r w:rsidRPr="00325736">
              <w:rPr>
                <w:b/>
                <w:sz w:val="28"/>
              </w:rPr>
              <w:t>TRƯỞNG BAN</w:t>
            </w:r>
          </w:p>
          <w:p w:rsidR="003B78CF" w:rsidRPr="00325736" w:rsidRDefault="002874B3" w:rsidP="001F1D06">
            <w:pPr>
              <w:ind w:right="-514"/>
              <w:jc w:val="center"/>
              <w:rPr>
                <w:b/>
                <w:sz w:val="26"/>
                <w:lang w:val="en-US"/>
              </w:rPr>
            </w:pPr>
            <w:r>
              <w:rPr>
                <w:b/>
                <w:sz w:val="26"/>
                <w:lang w:val="en-US"/>
              </w:rPr>
              <w:t>Đã ký</w:t>
            </w:r>
          </w:p>
          <w:p w:rsidR="00852FDD" w:rsidRPr="00325736" w:rsidRDefault="007E06BC" w:rsidP="00AF0960">
            <w:pPr>
              <w:ind w:right="-514"/>
              <w:jc w:val="center"/>
              <w:rPr>
                <w:b/>
                <w:sz w:val="28"/>
              </w:rPr>
            </w:pPr>
            <w:r w:rsidRPr="00325736">
              <w:rPr>
                <w:b/>
                <w:sz w:val="28"/>
              </w:rPr>
              <w:t>Hồ Văn Đà</w:t>
            </w:r>
          </w:p>
        </w:tc>
      </w:tr>
    </w:tbl>
    <w:p w:rsidR="00037F23" w:rsidRPr="00325736" w:rsidRDefault="00037F23" w:rsidP="00596DE5">
      <w:pPr>
        <w:spacing w:after="60" w:line="288" w:lineRule="auto"/>
        <w:jc w:val="both"/>
        <w:rPr>
          <w:sz w:val="28"/>
          <w:lang w:val="en-US"/>
        </w:rPr>
      </w:pPr>
    </w:p>
    <w:p w:rsidR="000E4599" w:rsidRPr="00325736" w:rsidRDefault="000E4599">
      <w:pPr>
        <w:spacing w:after="60" w:line="288" w:lineRule="auto"/>
        <w:jc w:val="both"/>
        <w:rPr>
          <w:sz w:val="28"/>
          <w:lang w:val="en-US"/>
        </w:rPr>
      </w:pPr>
    </w:p>
    <w:sectPr w:rsidR="000E4599" w:rsidRPr="00325736" w:rsidSect="009F6FB1">
      <w:headerReference w:type="default" r:id="rId9"/>
      <w:footerReference w:type="default" r:id="rId10"/>
      <w:pgSz w:w="11907" w:h="16840" w:code="9"/>
      <w:pgMar w:top="1134" w:right="992" w:bottom="1134" w:left="1701" w:header="720" w:footer="54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08" w:rsidRDefault="00FD7808" w:rsidP="0058551B">
      <w:r>
        <w:separator/>
      </w:r>
    </w:p>
  </w:endnote>
  <w:endnote w:type="continuationSeparator" w:id="0">
    <w:p w:rsidR="00FD7808" w:rsidRDefault="00FD7808" w:rsidP="0058551B">
      <w:r>
        <w:continuationSeparator/>
      </w:r>
    </w:p>
  </w:endnote>
  <w:endnote w:type="continuationNotice" w:id="1">
    <w:p w:rsidR="00FD7808" w:rsidRDefault="00FD7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DD" w:rsidRPr="002142B0" w:rsidRDefault="00935BDD" w:rsidP="002142B0">
    <w:pPr>
      <w:pStyle w:val="Footer"/>
      <w:jc w:val="right"/>
    </w:pPr>
    <w:r>
      <w:fldChar w:fldCharType="begin"/>
    </w:r>
    <w:r>
      <w:instrText xml:space="preserve"> PAGE   \* MERGEFORMAT </w:instrText>
    </w:r>
    <w:r>
      <w:fldChar w:fldCharType="separate"/>
    </w:r>
    <w:r w:rsidR="00676926">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08" w:rsidRDefault="00FD7808" w:rsidP="0058551B">
      <w:r>
        <w:separator/>
      </w:r>
    </w:p>
  </w:footnote>
  <w:footnote w:type="continuationSeparator" w:id="0">
    <w:p w:rsidR="00FD7808" w:rsidRDefault="00FD7808" w:rsidP="0058551B">
      <w:r>
        <w:continuationSeparator/>
      </w:r>
    </w:p>
  </w:footnote>
  <w:footnote w:type="continuationNotice" w:id="1">
    <w:p w:rsidR="00FD7808" w:rsidRDefault="00FD7808"/>
  </w:footnote>
  <w:footnote w:id="2">
    <w:p w:rsidR="000D22CB" w:rsidRPr="000616CC" w:rsidRDefault="000D22CB">
      <w:pPr>
        <w:pStyle w:val="FootnoteText"/>
        <w:rPr>
          <w:color w:val="auto"/>
        </w:rPr>
      </w:pPr>
      <w:r w:rsidRPr="000616CC">
        <w:rPr>
          <w:rStyle w:val="FootnoteReference"/>
          <w:color w:val="auto"/>
        </w:rPr>
        <w:footnoteRef/>
      </w:r>
      <w:r w:rsidRPr="000616CC">
        <w:rPr>
          <w:color w:val="auto"/>
        </w:rPr>
        <w:t xml:space="preserve"> Như: </w:t>
      </w:r>
      <w:r w:rsidRPr="000616CC">
        <w:rPr>
          <w:i/>
          <w:color w:val="auto"/>
          <w:lang w:val="am-ET"/>
        </w:rPr>
        <w:t>K</w:t>
      </w:r>
      <w:r w:rsidRPr="000616CC">
        <w:rPr>
          <w:i/>
          <w:color w:val="auto"/>
        </w:rPr>
        <w:t xml:space="preserve">hu vực </w:t>
      </w:r>
      <w:r w:rsidRPr="000616CC">
        <w:rPr>
          <w:i/>
          <w:color w:val="auto"/>
          <w:lang w:val="am-ET"/>
        </w:rPr>
        <w:t>doanh nghiệp nhà nước</w:t>
      </w:r>
      <w:r w:rsidRPr="000616CC">
        <w:rPr>
          <w:i/>
          <w:color w:val="auto"/>
        </w:rPr>
        <w:t xml:space="preserve"> T</w:t>
      </w:r>
      <w:r w:rsidRPr="000616CC">
        <w:rPr>
          <w:i/>
          <w:color w:val="auto"/>
          <w:lang w:val="am-ET"/>
        </w:rPr>
        <w:t>rung ương:</w:t>
      </w:r>
      <w:r w:rsidRPr="000616CC">
        <w:rPr>
          <w:i/>
          <w:color w:val="auto"/>
        </w:rPr>
        <w:t xml:space="preserve"> </w:t>
      </w:r>
      <w:r w:rsidRPr="000616CC">
        <w:rPr>
          <w:color w:val="auto"/>
        </w:rPr>
        <w:t>thực hiện</w:t>
      </w:r>
      <w:r w:rsidRPr="000616CC">
        <w:rPr>
          <w:color w:val="auto"/>
          <w:lang w:val="am-ET"/>
        </w:rPr>
        <w:t xml:space="preserve"> </w:t>
      </w:r>
      <w:r w:rsidRPr="000616CC">
        <w:rPr>
          <w:color w:val="auto"/>
        </w:rPr>
        <w:t xml:space="preserve">431.047 triệu đồng, đạt 60,1% dự toán; </w:t>
      </w:r>
      <w:r w:rsidRPr="000616CC">
        <w:rPr>
          <w:i/>
          <w:color w:val="auto"/>
          <w:lang w:val="am-ET"/>
        </w:rPr>
        <w:t>Thu từ</w:t>
      </w:r>
      <w:r w:rsidRPr="000616CC">
        <w:rPr>
          <w:iCs/>
          <w:color w:val="auto"/>
          <w:lang w:val="am-ET"/>
        </w:rPr>
        <w:t xml:space="preserve"> </w:t>
      </w:r>
      <w:r w:rsidRPr="000616CC">
        <w:rPr>
          <w:i/>
          <w:color w:val="auto"/>
        </w:rPr>
        <w:t>khu vực thuế công thương nghiệp ngoài quốc doanh</w:t>
      </w:r>
      <w:r w:rsidRPr="000616CC">
        <w:rPr>
          <w:color w:val="auto"/>
        </w:rPr>
        <w:t xml:space="preserve">: thực hiện 538.731 triệu đồng, đạt 86,2% dự toán; </w:t>
      </w:r>
      <w:r w:rsidRPr="000616CC">
        <w:rPr>
          <w:i/>
          <w:iCs/>
          <w:color w:val="auto"/>
        </w:rPr>
        <w:t>Thuế thu nhập cá nhân</w:t>
      </w:r>
      <w:r w:rsidRPr="000616CC">
        <w:rPr>
          <w:color w:val="auto"/>
        </w:rPr>
        <w:t xml:space="preserve">: thực hiện 89.343 triệu đồng, đạt 80,5% dự toán; </w:t>
      </w:r>
      <w:r w:rsidRPr="000616CC">
        <w:rPr>
          <w:i/>
          <w:iCs/>
          <w:color w:val="auto"/>
        </w:rPr>
        <w:t>Thu lệ phí trước bạ</w:t>
      </w:r>
      <w:r w:rsidRPr="000616CC">
        <w:rPr>
          <w:color w:val="auto"/>
        </w:rPr>
        <w:t xml:space="preserve">: thực hiện 66.166 triệu đồng, đạt 76,9% dự toán; </w:t>
      </w:r>
      <w:r w:rsidRPr="000616CC">
        <w:rPr>
          <w:i/>
          <w:iCs/>
          <w:color w:val="auto"/>
        </w:rPr>
        <w:t>Số thu từ các dự án khai thác quỹ đất (địa phương giao tăng thu so với dự toán Trung ương):</w:t>
      </w:r>
      <w:r w:rsidRPr="000616CC">
        <w:rPr>
          <w:color w:val="auto"/>
        </w:rPr>
        <w:t xml:space="preserve"> thực hiện 215.800 triệu đồng, đạt 24,0% dự toán; </w:t>
      </w:r>
      <w:r w:rsidRPr="000616CC">
        <w:rPr>
          <w:i/>
          <w:iCs/>
          <w:color w:val="auto"/>
        </w:rPr>
        <w:t>Thu từ hoạt động xổ số kiến thiết</w:t>
      </w:r>
      <w:r w:rsidRPr="000616CC">
        <w:rPr>
          <w:color w:val="auto"/>
        </w:rPr>
        <w:t>: thực hiện 77.395 triệu đồng đạt 91,1% dự toán.</w:t>
      </w:r>
    </w:p>
  </w:footnote>
  <w:footnote w:id="3">
    <w:p w:rsidR="00935BDD" w:rsidRPr="000616CC" w:rsidRDefault="00935BDD" w:rsidP="000A1DB9">
      <w:pPr>
        <w:pStyle w:val="FootnoteText"/>
        <w:rPr>
          <w:color w:val="auto"/>
        </w:rPr>
      </w:pPr>
      <w:r w:rsidRPr="000616CC">
        <w:rPr>
          <w:rStyle w:val="FootnoteReference"/>
          <w:color w:val="auto"/>
        </w:rPr>
        <w:footnoteRef/>
      </w:r>
      <w:r w:rsidRPr="000616CC">
        <w:rPr>
          <w:color w:val="auto"/>
        </w:rPr>
        <w:t xml:space="preserve"> </w:t>
      </w:r>
      <w:r w:rsidRPr="000616CC">
        <w:rPr>
          <w:color w:val="auto"/>
          <w:shd w:val="clear" w:color="auto" w:fill="FFFFFF"/>
        </w:rPr>
        <w:t>Trong đó, ngân sách tỉnh hụt thu khoảng 95.000 triệu đồng; ngân sách cấp huyện tăng thu khoảng 60.000 triệu đồng.</w:t>
      </w:r>
    </w:p>
  </w:footnote>
  <w:footnote w:id="4">
    <w:p w:rsidR="00935BDD" w:rsidRPr="000616CC" w:rsidRDefault="00935BDD">
      <w:pPr>
        <w:pStyle w:val="FootnoteText"/>
        <w:rPr>
          <w:color w:val="auto"/>
        </w:rPr>
      </w:pPr>
      <w:r w:rsidRPr="000616CC">
        <w:rPr>
          <w:rStyle w:val="FootnoteReference"/>
          <w:color w:val="auto"/>
        </w:rPr>
        <w:footnoteRef/>
      </w:r>
      <w:r w:rsidRPr="000616CC">
        <w:rPr>
          <w:color w:val="auto"/>
        </w:rPr>
        <w:t xml:space="preserve"> </w:t>
      </w:r>
      <w:r w:rsidRPr="000616CC">
        <w:rPr>
          <w:color w:val="auto"/>
          <w:lang w:val="nl-NL"/>
        </w:rPr>
        <w:t>Kết quả xử lý khoanh nợ tính đến 30/9/2020 là 108.071 triệu đồng.</w:t>
      </w:r>
    </w:p>
  </w:footnote>
  <w:footnote w:id="5">
    <w:p w:rsidR="004175D4" w:rsidRPr="000616CC" w:rsidRDefault="004175D4" w:rsidP="004175D4">
      <w:pPr>
        <w:pStyle w:val="FootnoteText"/>
        <w:rPr>
          <w:color w:val="auto"/>
        </w:rPr>
      </w:pPr>
      <w:r w:rsidRPr="000616CC">
        <w:rPr>
          <w:rStyle w:val="FootnoteReference"/>
          <w:color w:val="auto"/>
        </w:rPr>
        <w:footnoteRef/>
      </w:r>
      <w:r w:rsidRPr="000616CC">
        <w:rPr>
          <w:color w:val="auto"/>
        </w:rPr>
        <w:t xml:space="preserve"> Một số nguyên nhân: tình hình thời tiết trong những tháng đầu năm 2020 diễn biến bất thường, khô hạn, lượng mưa trên địa bàn thấp, lưu lượng nước về các hồ chứa giảm mạnh, các nhà máy thủy điện lớn trên địa bàn thực hiện tích nước cho mùa khô, dẫn đến sản lượng điện giảm mạnh; ảnh hưởng của dịch bệnh Covid-19 làm cho sản xuất kinh doanh giảm, dẫn đến số nộp ngân sách giảm.</w:t>
      </w:r>
    </w:p>
  </w:footnote>
  <w:footnote w:id="6">
    <w:p w:rsidR="004175D4" w:rsidRPr="000616CC" w:rsidRDefault="004175D4">
      <w:pPr>
        <w:pStyle w:val="FootnoteText"/>
        <w:rPr>
          <w:color w:val="auto"/>
        </w:rPr>
      </w:pPr>
      <w:r w:rsidRPr="000616CC">
        <w:rPr>
          <w:rStyle w:val="FootnoteReference"/>
          <w:color w:val="auto"/>
        </w:rPr>
        <w:footnoteRef/>
      </w:r>
      <w:r w:rsidRPr="000616CC">
        <w:rPr>
          <w:color w:val="auto"/>
        </w:rPr>
        <w:t xml:space="preserve"> Điểm b khoản 2 Điều 7 Nghị quyết số 94/2019/QH14 của Quốc hội.</w:t>
      </w:r>
    </w:p>
  </w:footnote>
  <w:footnote w:id="7">
    <w:p w:rsidR="00545847" w:rsidRPr="000616CC" w:rsidRDefault="00545847">
      <w:pPr>
        <w:pStyle w:val="FootnoteText"/>
        <w:rPr>
          <w:color w:val="auto"/>
        </w:rPr>
      </w:pPr>
      <w:r w:rsidRPr="000616CC">
        <w:rPr>
          <w:rStyle w:val="FootnoteReference"/>
          <w:color w:val="auto"/>
        </w:rPr>
        <w:footnoteRef/>
      </w:r>
      <w:r w:rsidRPr="000616CC">
        <w:rPr>
          <w:color w:val="auto"/>
        </w:rPr>
        <w:t xml:space="preserve"> Nguồn Hỗ trợ đồng bào miền núi theo Quyết định số 2085/QĐ-TTg và Quyết định số 2086/QĐ-TTg của Thủ tướng Chính phủ (126,6 tỷ đồng), nguồn Vốn ODA và vốn vay ưu đãi của các nhà tài trợ nước ngoài (266,4 tỷ đồng) và nguồn vốn Trái phiếu chính phủ (192 tỷ đồng).</w:t>
      </w:r>
    </w:p>
  </w:footnote>
  <w:footnote w:id="8">
    <w:p w:rsidR="00545847" w:rsidRPr="000616CC" w:rsidRDefault="00545847" w:rsidP="00545847">
      <w:pPr>
        <w:jc w:val="both"/>
        <w:rPr>
          <w:sz w:val="20"/>
          <w:szCs w:val="20"/>
        </w:rPr>
      </w:pPr>
      <w:r w:rsidRPr="000616CC">
        <w:rPr>
          <w:rStyle w:val="FootnoteReference"/>
          <w:sz w:val="20"/>
          <w:szCs w:val="20"/>
        </w:rPr>
        <w:footnoteRef/>
      </w:r>
      <w:r w:rsidRPr="000616CC">
        <w:rPr>
          <w:sz w:val="20"/>
          <w:szCs w:val="20"/>
        </w:rPr>
        <w:t xml:space="preserve"> Điểm b khoản 2 (</w:t>
      </w:r>
      <w:r w:rsidRPr="000616CC">
        <w:rPr>
          <w:i/>
          <w:sz w:val="20"/>
          <w:szCs w:val="20"/>
        </w:rPr>
        <w:t xml:space="preserve">Các dự án, công trình xây dựng cơ bản </w:t>
      </w:r>
      <w:r w:rsidRPr="000616CC">
        <w:rPr>
          <w:b/>
          <w:i/>
          <w:sz w:val="20"/>
          <w:szCs w:val="20"/>
        </w:rPr>
        <w:t>cấp bách</w:t>
      </w:r>
      <w:r w:rsidRPr="000616CC">
        <w:rPr>
          <w:i/>
          <w:sz w:val="20"/>
          <w:szCs w:val="20"/>
        </w:rPr>
        <w:t xml:space="preserve"> của trung ương và địa phương</w:t>
      </w:r>
      <w:r w:rsidRPr="000616CC">
        <w:rPr>
          <w:sz w:val="20"/>
          <w:szCs w:val="20"/>
        </w:rPr>
        <w:t>) và điểm b khoản 3 (</w:t>
      </w:r>
      <w:r w:rsidRPr="000616CC">
        <w:rPr>
          <w:i/>
          <w:sz w:val="20"/>
          <w:szCs w:val="20"/>
        </w:rPr>
        <w:t xml:space="preserve">Dự án, công trình xây dựng cơ bản </w:t>
      </w:r>
      <w:r w:rsidRPr="000616CC">
        <w:rPr>
          <w:b/>
          <w:i/>
          <w:sz w:val="20"/>
          <w:szCs w:val="20"/>
        </w:rPr>
        <w:t>phải có đủ điều kiện thực hiện theo quy định của pháp luật về đầu tư công và xây dựng</w:t>
      </w:r>
      <w:r w:rsidRPr="000616CC">
        <w:rPr>
          <w:i/>
          <w:sz w:val="20"/>
          <w:szCs w:val="20"/>
        </w:rPr>
        <w:t>, thuộc kế hoạch đầu tư công trung hạn nguồn ngân sách nhà nước đã được cấp có thẩm quyền phê duyệt, cần đẩy nhanh tiến độ</w:t>
      </w:r>
      <w:r w:rsidRPr="000616CC">
        <w:rPr>
          <w:sz w:val="20"/>
          <w:szCs w:val="20"/>
        </w:rPr>
        <w:t xml:space="preserve">) Điều 37 Nghị định số 163/2016/NĐ-CP ngày 21/12/2016 của Chính phủ </w:t>
      </w:r>
      <w:bookmarkStart w:id="0" w:name="loai_1_name"/>
      <w:r w:rsidRPr="000616CC">
        <w:rPr>
          <w:sz w:val="20"/>
          <w:szCs w:val="20"/>
        </w:rPr>
        <w:t>quy định chi tiết thi hành một số điều của Luật Ngân sách Nhà nước</w:t>
      </w:r>
      <w:bookmarkEnd w:id="0"/>
      <w:r w:rsidRPr="000616CC">
        <w:rPr>
          <w:sz w:val="20"/>
          <w:szCs w:val="20"/>
        </w:rPr>
        <w:t xml:space="preserve">. </w:t>
      </w:r>
    </w:p>
  </w:footnote>
  <w:footnote w:id="9">
    <w:p w:rsidR="00545847" w:rsidRPr="000616CC" w:rsidRDefault="00545847" w:rsidP="00545847">
      <w:pPr>
        <w:pStyle w:val="FootnoteText"/>
        <w:rPr>
          <w:color w:val="auto"/>
          <w:lang w:val="vi-VN"/>
        </w:rPr>
      </w:pPr>
      <w:r w:rsidRPr="000616CC">
        <w:rPr>
          <w:rStyle w:val="FootnoteReference"/>
          <w:color w:val="auto"/>
        </w:rPr>
        <w:footnoteRef/>
      </w:r>
      <w:r w:rsidR="00EF57CE" w:rsidRPr="000616CC">
        <w:rPr>
          <w:color w:val="auto"/>
          <w:vertAlign w:val="superscript"/>
          <w:lang w:val="vi-VN"/>
        </w:rPr>
        <w:t xml:space="preserve"> </w:t>
      </w:r>
      <w:r w:rsidRPr="000616CC">
        <w:rPr>
          <w:color w:val="auto"/>
          <w:lang w:val="vi-VN"/>
        </w:rPr>
        <w:t>Chưa đảm bảo yêu cầu theo quy định tại Điều 51 Luật Đầu tư công năm 2019.</w:t>
      </w:r>
    </w:p>
  </w:footnote>
  <w:footnote w:id="10">
    <w:p w:rsidR="00545847" w:rsidRPr="000616CC" w:rsidRDefault="00545847" w:rsidP="00545847">
      <w:pPr>
        <w:widowControl w:val="0"/>
        <w:tabs>
          <w:tab w:val="left" w:pos="1498"/>
        </w:tabs>
        <w:jc w:val="both"/>
        <w:rPr>
          <w:sz w:val="20"/>
          <w:szCs w:val="20"/>
          <w:lang w:val="am-ET"/>
        </w:rPr>
      </w:pPr>
      <w:r w:rsidRPr="000616CC">
        <w:rPr>
          <w:rStyle w:val="FootnoteReference"/>
          <w:sz w:val="20"/>
          <w:szCs w:val="20"/>
        </w:rPr>
        <w:footnoteRef/>
      </w:r>
      <w:r w:rsidRPr="000616CC">
        <w:rPr>
          <w:sz w:val="20"/>
          <w:szCs w:val="20"/>
        </w:rPr>
        <w:t xml:space="preserve"> Tổng số vôn ứng </w:t>
      </w:r>
      <w:r w:rsidRPr="000616CC">
        <w:rPr>
          <w:sz w:val="20"/>
          <w:szCs w:val="20"/>
          <w:lang w:val="am-ET"/>
        </w:rPr>
        <w:t xml:space="preserve">trước ngân sách tỉnh thực hiện các dự án đầu tư là </w:t>
      </w:r>
      <w:r w:rsidRPr="000616CC">
        <w:rPr>
          <w:sz w:val="20"/>
          <w:szCs w:val="20"/>
        </w:rPr>
        <w:t xml:space="preserve">293.131 triệu, trong đó: năm 2019 là </w:t>
      </w:r>
      <w:r w:rsidRPr="000616CC">
        <w:rPr>
          <w:sz w:val="20"/>
          <w:szCs w:val="20"/>
          <w:lang w:val="am-ET"/>
        </w:rPr>
        <w:t>175.123 triệu đồng</w:t>
      </w:r>
      <w:r w:rsidRPr="000616CC">
        <w:rPr>
          <w:sz w:val="20"/>
          <w:szCs w:val="20"/>
        </w:rPr>
        <w:t xml:space="preserve">; năm 2020 </w:t>
      </w:r>
      <w:r w:rsidRPr="000616CC">
        <w:rPr>
          <w:iCs/>
          <w:sz w:val="20"/>
          <w:szCs w:val="20"/>
        </w:rPr>
        <w:t>là</w:t>
      </w:r>
      <w:r w:rsidRPr="000616CC">
        <w:rPr>
          <w:iCs/>
          <w:sz w:val="20"/>
          <w:szCs w:val="20"/>
          <w:lang w:val="am-ET"/>
        </w:rPr>
        <w:t xml:space="preserve"> </w:t>
      </w:r>
      <w:r w:rsidRPr="000616CC">
        <w:rPr>
          <w:iCs/>
          <w:sz w:val="20"/>
          <w:szCs w:val="20"/>
        </w:rPr>
        <w:t xml:space="preserve">118.008 </w:t>
      </w:r>
      <w:r w:rsidRPr="000616CC">
        <w:rPr>
          <w:iCs/>
          <w:sz w:val="20"/>
          <w:szCs w:val="20"/>
          <w:lang w:val="am-ET"/>
        </w:rPr>
        <w:t>triệu đồng</w:t>
      </w:r>
      <w:r w:rsidRPr="000616CC">
        <w:rPr>
          <w:sz w:val="20"/>
          <w:szCs w:val="20"/>
        </w:rPr>
        <w:t>.</w:t>
      </w:r>
      <w:r w:rsidRPr="000616CC">
        <w:rPr>
          <w:sz w:val="20"/>
          <w:szCs w:val="20"/>
          <w:lang w:val="am-ET"/>
        </w:rPr>
        <w:t xml:space="preserve"> Kế hoạch vốn năm 2020 đã bố trí vốn để thu hồi tạm ứng 78.175 triệu đồng; tổng số vốn tạm ứng còn lại chưa thu hồi 214.956 triệu đồng</w:t>
      </w:r>
      <w:r w:rsidRPr="000616CC">
        <w:rPr>
          <w:i/>
          <w:sz w:val="20"/>
          <w:szCs w:val="20"/>
          <w:lang w:val="am-ET"/>
        </w:rPr>
        <w:t xml:space="preserve">. </w:t>
      </w:r>
    </w:p>
  </w:footnote>
  <w:footnote w:id="11">
    <w:p w:rsidR="00545847" w:rsidRPr="000616CC" w:rsidRDefault="00545847" w:rsidP="00545847">
      <w:pPr>
        <w:pStyle w:val="FootnoteText"/>
        <w:rPr>
          <w:color w:val="auto"/>
          <w:lang w:val="am-ET"/>
        </w:rPr>
      </w:pPr>
      <w:r w:rsidRPr="000616CC">
        <w:rPr>
          <w:color w:val="auto"/>
          <w:vertAlign w:val="superscript"/>
          <w:lang w:val="am-ET"/>
        </w:rPr>
        <w:t>(</w:t>
      </w:r>
      <w:r w:rsidRPr="000616CC">
        <w:rPr>
          <w:color w:val="auto"/>
          <w:vertAlign w:val="superscript"/>
        </w:rPr>
        <w:footnoteRef/>
      </w:r>
      <w:r w:rsidRPr="000616CC">
        <w:rPr>
          <w:color w:val="auto"/>
          <w:vertAlign w:val="superscript"/>
          <w:lang w:val="am-ET"/>
        </w:rPr>
        <w:t xml:space="preserve">) </w:t>
      </w:r>
      <w:r w:rsidRPr="000616CC">
        <w:rPr>
          <w:color w:val="auto"/>
          <w:lang w:val="am-ET"/>
        </w:rPr>
        <w:t>Quyết định số 492/QĐ-UBND ngày 16/5/2019 của UBND tỉnh về việc Điều chỉnh, bổ sung Kế hoạch thực hiện dự án hỗ trợ phát triển sản xuất, đa dạng hóa sinh kế và nhân rộng mô hình giảm nghèo thuộc Chương trình mục tiêu quốc gia giảm nghèo bền vững năm 2019 trên địa bàn tỉnh Kon Tum; Quyết định số 1050/QĐ-UBND ngày 30/9/2019 của UBND tỉnh về việc Điều chỉnh, bổ sung Kế hoạch thực hiện dự án hỗ trợ phát triển sản xuất, đa dạng hóa sinh kế và nhân rộng mô hình giảm nghèo thuộc Chương trình mục tiêu quốc gia giảm nghèo bền vững năm 2019 trên địa bàn tỉnh Kon Tum.</w:t>
      </w:r>
    </w:p>
  </w:footnote>
  <w:footnote w:id="12">
    <w:p w:rsidR="001931F3" w:rsidRPr="000616CC" w:rsidRDefault="001931F3">
      <w:pPr>
        <w:pStyle w:val="FootnoteText"/>
        <w:rPr>
          <w:color w:val="auto"/>
          <w:lang w:val="vi-VN"/>
        </w:rPr>
      </w:pPr>
      <w:r w:rsidRPr="000616CC">
        <w:rPr>
          <w:rStyle w:val="FootnoteReference"/>
          <w:color w:val="auto"/>
        </w:rPr>
        <w:footnoteRef/>
      </w:r>
      <w:r w:rsidRPr="000616CC">
        <w:rPr>
          <w:color w:val="auto"/>
          <w:lang w:val="am-ET"/>
        </w:rPr>
        <w:t xml:space="preserve"> Tại khoản 5 Điều 1 Nghị quyết số 122/2020/QH14 quy định: “</w:t>
      </w:r>
      <w:r w:rsidRPr="000616CC">
        <w:rPr>
          <w:color w:val="auto"/>
          <w:lang w:val="vi-VN"/>
        </w:rPr>
        <w:t xml:space="preserve">Kéo dài thời kỳ ổn định ngân sách nhà nước giai đoạn 2017-2020 sang năm 2021. Lùi thời gian ban hành định mức phân bổ dự toán chi thường xuyên sang năm 2021 để áp dụng cho thời kỳ ổn định ngân sách mới…”. </w:t>
      </w:r>
    </w:p>
  </w:footnote>
  <w:footnote w:id="13">
    <w:p w:rsidR="006114B0" w:rsidRPr="000616CC" w:rsidRDefault="006114B0" w:rsidP="006114B0">
      <w:pPr>
        <w:pStyle w:val="FootnoteText"/>
        <w:rPr>
          <w:color w:val="auto"/>
          <w:lang w:val="vi-VN"/>
        </w:rPr>
      </w:pPr>
      <w:r w:rsidRPr="000616CC">
        <w:rPr>
          <w:rStyle w:val="FootnoteReference"/>
          <w:color w:val="auto"/>
        </w:rPr>
        <w:footnoteRef/>
      </w:r>
      <w:r w:rsidRPr="000616CC">
        <w:rPr>
          <w:color w:val="auto"/>
          <w:lang w:val="vi-VN"/>
        </w:rPr>
        <w:t xml:space="preserve"> Ngoài dự toán Trung ương giao, trong điều kiện ngân sách còn khó khăn, để có nguồn đầu tư cơ sở hạ tầng, chỉnh trang đô thị, phát triển KT-XH, địa phương phấn đấu tăng thu từ các dự án khai thác quỹ đất và ghi thu tiền đền bù giải phóng mặt bằng các dự án nhà đầu tư tự nguyện ứng trước </w:t>
      </w:r>
      <w:r w:rsidRPr="000616CC">
        <w:rPr>
          <w:i/>
          <w:color w:val="auto"/>
          <w:lang w:val="vi-VN"/>
        </w:rPr>
        <w:t>(theo Thông tư số 88/2019/TT-BTC ngày 24/12/2019 của Bộ Tài chính và văn bản số 11282/BTC-NSNN ngày 25 tháng 9 năm 2019 của Bộ Tài chính)</w:t>
      </w:r>
      <w:r w:rsidRPr="000616CC">
        <w:rPr>
          <w:color w:val="auto"/>
          <w:lang w:val="vi-VN"/>
        </w:rPr>
        <w:t xml:space="preserve"> so với dự toán trung ương giao 306.400 triệu đồng </w:t>
      </w:r>
      <w:r w:rsidRPr="000616CC">
        <w:rPr>
          <w:i/>
          <w:color w:val="auto"/>
          <w:lang w:val="vi-VN"/>
        </w:rPr>
        <w:t>(phân bổ chi đầu tư các dự án, nhiệm vụ theo tiến độ nguồn thu thực tế);</w:t>
      </w:r>
      <w:r w:rsidRPr="000616CC">
        <w:rPr>
          <w:color w:val="auto"/>
          <w:lang w:val="vi-VN"/>
        </w:rPr>
        <w:t xml:space="preserve"> ghi thu viện trợ thuộc nguồn thu ngân sách địa phương 39.000 triệu đồng.</w:t>
      </w:r>
    </w:p>
  </w:footnote>
  <w:footnote w:id="14">
    <w:p w:rsidR="00EF57CE" w:rsidRPr="000616CC" w:rsidRDefault="00EF57CE">
      <w:pPr>
        <w:pStyle w:val="FootnoteText"/>
        <w:rPr>
          <w:color w:val="auto"/>
          <w:lang w:val="vi-VN"/>
        </w:rPr>
      </w:pPr>
      <w:r w:rsidRPr="000616CC">
        <w:rPr>
          <w:rStyle w:val="FootnoteReference"/>
          <w:color w:val="auto"/>
        </w:rPr>
        <w:footnoteRef/>
      </w:r>
      <w:r w:rsidRPr="000616CC">
        <w:rPr>
          <w:color w:val="auto"/>
          <w:lang w:val="vi-VN"/>
        </w:rPr>
        <w:t xml:space="preserve"> Trong đó: Chi đầu tư phát triển 902.220 triệu đồng, chi thường xuyên 4.457.168 triệu đồng, chi trả nợ lãi vay 2.000 triệu đồng, chi bổ sung quỹ dự trữ tài chính 1.000 triệu đồng, dự phòng 116.345 triệu đồng, chi từ nguồn tăng thu các dự án khai thác quỹ đất so với dự toán Trung ương giao (phân bổ cho các dự án, nhiệm vụ theo tiến độ nguồn thu thực tế) 299.492 triệu đồng; Chi từ nguồn thu viện trợ thuộc nguồn thu ngân sách địa phương 39.000 triệu đồng.</w:t>
      </w:r>
    </w:p>
  </w:footnote>
  <w:footnote w:id="15">
    <w:p w:rsidR="006114B0" w:rsidRPr="000616CC" w:rsidRDefault="006114B0" w:rsidP="006114B0">
      <w:pPr>
        <w:pStyle w:val="FootnoteText"/>
        <w:rPr>
          <w:color w:val="auto"/>
          <w:lang w:val="vi-VN"/>
        </w:rPr>
      </w:pPr>
      <w:r w:rsidRPr="000616CC">
        <w:rPr>
          <w:color w:val="auto"/>
          <w:vertAlign w:val="superscript"/>
        </w:rPr>
        <w:footnoteRef/>
      </w:r>
      <w:r w:rsidRPr="000616CC">
        <w:rPr>
          <w:color w:val="auto"/>
          <w:vertAlign w:val="superscript"/>
          <w:lang w:val="vi-VN"/>
        </w:rPr>
        <w:t xml:space="preserve"> </w:t>
      </w:r>
      <w:r w:rsidRPr="000616CC">
        <w:rPr>
          <w:color w:val="auto"/>
          <w:lang w:val="vi-VN"/>
        </w:rPr>
        <w:t xml:space="preserve"> Nguồn tăng thu từ các dự án khai thác quỹ đất và ghi thu tiền đền bù giải phóng mặt bằng các dự án nhà đầu tư tự nguyện ứng trước so với dự toán trung ương giao 306.400 triệu đồng, bố trí chi đầu tư các dự án, nhiệm vụ theo tiến độ nguồn thu thực tế trong năm; ghi chi viện trợ thuộc nguồn thu ngân sách địa phương 39.000 triệu đồng.</w:t>
      </w:r>
    </w:p>
  </w:footnote>
  <w:footnote w:id="16">
    <w:p w:rsidR="00D52966" w:rsidRPr="000616CC" w:rsidRDefault="00D52966" w:rsidP="00D52966">
      <w:pPr>
        <w:pStyle w:val="FootnoteText"/>
        <w:rPr>
          <w:color w:val="auto"/>
          <w:sz w:val="18"/>
          <w:szCs w:val="18"/>
          <w:lang w:val="vi-VN"/>
        </w:rPr>
      </w:pPr>
      <w:r w:rsidRPr="000616CC">
        <w:rPr>
          <w:color w:val="auto"/>
          <w:sz w:val="18"/>
          <w:szCs w:val="18"/>
          <w:vertAlign w:val="superscript"/>
          <w:lang w:val="vi-VN"/>
        </w:rPr>
        <w:t>(</w:t>
      </w:r>
      <w:r w:rsidRPr="000616CC">
        <w:rPr>
          <w:rStyle w:val="FootnoteReference"/>
          <w:color w:val="auto"/>
          <w:sz w:val="18"/>
          <w:szCs w:val="18"/>
        </w:rPr>
        <w:footnoteRef/>
      </w:r>
      <w:r w:rsidRPr="000616CC">
        <w:rPr>
          <w:color w:val="auto"/>
          <w:sz w:val="18"/>
          <w:szCs w:val="18"/>
          <w:vertAlign w:val="superscript"/>
          <w:lang w:val="vi-VN"/>
        </w:rPr>
        <w:t>)</w:t>
      </w:r>
      <w:r w:rsidRPr="000616CC">
        <w:rPr>
          <w:color w:val="auto"/>
          <w:sz w:val="18"/>
          <w:szCs w:val="18"/>
          <w:lang w:val="vi-VN"/>
        </w:rPr>
        <w:t xml:space="preserve"> Trong đó: Chi đền bù GPMB của các dự án đầu tư mà nhà đầu tư đã tự nguyện ứng trước từ nguồn thu tiền thuê đất, tiền sử dụng đất (thực hiện theo hình thức ghi thu ghi chi) 161.000 triệu đồng;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42" w:rsidRDefault="000D2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395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16E510C9"/>
    <w:multiLevelType w:val="hybridMultilevel"/>
    <w:tmpl w:val="5E100932"/>
    <w:lvl w:ilvl="0" w:tplc="042A000F">
      <w:start w:val="1"/>
      <w:numFmt w:val="decimal"/>
      <w:lvlText w:val="%1."/>
      <w:lvlJc w:val="left"/>
      <w:pPr>
        <w:ind w:left="1429" w:hanging="360"/>
      </w:pPr>
    </w:lvl>
    <w:lvl w:ilvl="1" w:tplc="042A0019">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nsid w:val="1A002955"/>
    <w:multiLevelType w:val="hybridMultilevel"/>
    <w:tmpl w:val="7CF8BBDC"/>
    <w:lvl w:ilvl="0" w:tplc="CA86026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nsid w:val="1CAF0D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7F3560"/>
    <w:multiLevelType w:val="hybridMultilevel"/>
    <w:tmpl w:val="22463B02"/>
    <w:lvl w:ilvl="0" w:tplc="A8D0A7C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3164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0D4FE0"/>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3417D07"/>
    <w:multiLevelType w:val="hybridMultilevel"/>
    <w:tmpl w:val="F738A3C0"/>
    <w:lvl w:ilvl="0" w:tplc="70EA63E6">
      <w:start w:val="2"/>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34153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9D5511"/>
    <w:multiLevelType w:val="hybridMultilevel"/>
    <w:tmpl w:val="BE3EE4BA"/>
    <w:lvl w:ilvl="0" w:tplc="224AE48E">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53DB38A8"/>
    <w:multiLevelType w:val="multilevel"/>
    <w:tmpl w:val="F4DC65F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55D52671"/>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A77A50"/>
    <w:multiLevelType w:val="multilevel"/>
    <w:tmpl w:val="35C09368"/>
    <w:lvl w:ilvl="0">
      <w:start w:val="1"/>
      <w:numFmt w:val="upperRoman"/>
      <w:lvlText w:val="%1."/>
      <w:lvlJc w:val="left"/>
      <w:pPr>
        <w:tabs>
          <w:tab w:val="num" w:pos="1134"/>
        </w:tabs>
        <w:ind w:left="0" w:firstLine="720"/>
      </w:pPr>
      <w:rPr>
        <w:rFonts w:ascii="Times New Roman" w:hAnsi="Times New Roman" w:cs="Times New Roman" w:hint="default"/>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7"/>
        </w:tabs>
        <w:ind w:left="0" w:firstLine="720"/>
      </w:pPr>
      <w:rPr>
        <w:b/>
        <w:sz w:val="2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A24965"/>
    <w:multiLevelType w:val="hybridMultilevel"/>
    <w:tmpl w:val="EAFEA11C"/>
    <w:lvl w:ilvl="0" w:tplc="54525CDC">
      <w:start w:val="1"/>
      <w:numFmt w:val="upperRoman"/>
      <w:lvlText w:val="%1."/>
      <w:lvlJc w:val="left"/>
      <w:pPr>
        <w:tabs>
          <w:tab w:val="num" w:pos="1575"/>
        </w:tabs>
        <w:ind w:left="1575" w:hanging="720"/>
      </w:pPr>
      <w:rPr>
        <w:rFonts w:hint="default"/>
      </w:rPr>
    </w:lvl>
    <w:lvl w:ilvl="1" w:tplc="042A0019" w:tentative="1">
      <w:start w:val="1"/>
      <w:numFmt w:val="lowerLetter"/>
      <w:lvlText w:val="%2."/>
      <w:lvlJc w:val="left"/>
      <w:pPr>
        <w:tabs>
          <w:tab w:val="num" w:pos="1935"/>
        </w:tabs>
        <w:ind w:left="1935" w:hanging="360"/>
      </w:pPr>
    </w:lvl>
    <w:lvl w:ilvl="2" w:tplc="042A001B" w:tentative="1">
      <w:start w:val="1"/>
      <w:numFmt w:val="lowerRoman"/>
      <w:lvlText w:val="%3."/>
      <w:lvlJc w:val="right"/>
      <w:pPr>
        <w:tabs>
          <w:tab w:val="num" w:pos="2655"/>
        </w:tabs>
        <w:ind w:left="2655" w:hanging="180"/>
      </w:pPr>
    </w:lvl>
    <w:lvl w:ilvl="3" w:tplc="042A000F" w:tentative="1">
      <w:start w:val="1"/>
      <w:numFmt w:val="decimal"/>
      <w:lvlText w:val="%4."/>
      <w:lvlJc w:val="left"/>
      <w:pPr>
        <w:tabs>
          <w:tab w:val="num" w:pos="3375"/>
        </w:tabs>
        <w:ind w:left="3375" w:hanging="360"/>
      </w:pPr>
    </w:lvl>
    <w:lvl w:ilvl="4" w:tplc="042A0019" w:tentative="1">
      <w:start w:val="1"/>
      <w:numFmt w:val="lowerLetter"/>
      <w:lvlText w:val="%5."/>
      <w:lvlJc w:val="left"/>
      <w:pPr>
        <w:tabs>
          <w:tab w:val="num" w:pos="4095"/>
        </w:tabs>
        <w:ind w:left="4095" w:hanging="360"/>
      </w:pPr>
    </w:lvl>
    <w:lvl w:ilvl="5" w:tplc="042A001B" w:tentative="1">
      <w:start w:val="1"/>
      <w:numFmt w:val="lowerRoman"/>
      <w:lvlText w:val="%6."/>
      <w:lvlJc w:val="right"/>
      <w:pPr>
        <w:tabs>
          <w:tab w:val="num" w:pos="4815"/>
        </w:tabs>
        <w:ind w:left="4815" w:hanging="180"/>
      </w:pPr>
    </w:lvl>
    <w:lvl w:ilvl="6" w:tplc="042A000F" w:tentative="1">
      <w:start w:val="1"/>
      <w:numFmt w:val="decimal"/>
      <w:lvlText w:val="%7."/>
      <w:lvlJc w:val="left"/>
      <w:pPr>
        <w:tabs>
          <w:tab w:val="num" w:pos="5535"/>
        </w:tabs>
        <w:ind w:left="5535" w:hanging="360"/>
      </w:pPr>
    </w:lvl>
    <w:lvl w:ilvl="7" w:tplc="042A0019" w:tentative="1">
      <w:start w:val="1"/>
      <w:numFmt w:val="lowerLetter"/>
      <w:lvlText w:val="%8."/>
      <w:lvlJc w:val="left"/>
      <w:pPr>
        <w:tabs>
          <w:tab w:val="num" w:pos="6255"/>
        </w:tabs>
        <w:ind w:left="6255" w:hanging="360"/>
      </w:pPr>
    </w:lvl>
    <w:lvl w:ilvl="8" w:tplc="042A001B" w:tentative="1">
      <w:start w:val="1"/>
      <w:numFmt w:val="lowerRoman"/>
      <w:lvlText w:val="%9."/>
      <w:lvlJc w:val="right"/>
      <w:pPr>
        <w:tabs>
          <w:tab w:val="num" w:pos="6975"/>
        </w:tabs>
        <w:ind w:left="6975" w:hanging="180"/>
      </w:pPr>
    </w:lvl>
  </w:abstractNum>
  <w:abstractNum w:abstractNumId="17">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F8B2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20">
    <w:nsid w:val="71C138D6"/>
    <w:multiLevelType w:val="hybridMultilevel"/>
    <w:tmpl w:val="7DB4ECCA"/>
    <w:lvl w:ilvl="0" w:tplc="62AE274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571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DE5CB9"/>
    <w:multiLevelType w:val="hybridMultilevel"/>
    <w:tmpl w:val="564C23CC"/>
    <w:lvl w:ilvl="0" w:tplc="DEE81C42">
      <w:start w:val="1"/>
      <w:numFmt w:val="decimal"/>
      <w:lvlText w:val="%1."/>
      <w:lvlJc w:val="left"/>
      <w:pPr>
        <w:ind w:left="1084" w:hanging="36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23">
    <w:nsid w:val="7C4127B4"/>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400A94"/>
    <w:multiLevelType w:val="hybridMultilevel"/>
    <w:tmpl w:val="E9BC5D4A"/>
    <w:lvl w:ilvl="0" w:tplc="917A5D9C">
      <w:start w:val="1"/>
      <w:numFmt w:val="upperRoman"/>
      <w:lvlText w:val="%1."/>
      <w:lvlJc w:val="left"/>
      <w:pPr>
        <w:ind w:left="928" w:hanging="360"/>
      </w:pPr>
      <w:rPr>
        <w:rFonts w:hint="default"/>
      </w:rPr>
    </w:lvl>
    <w:lvl w:ilvl="1" w:tplc="75F82A26">
      <w:start w:val="1"/>
      <w:numFmt w:val="bullet"/>
      <w:lvlText w:val=""/>
      <w:lvlJc w:val="left"/>
      <w:pPr>
        <w:ind w:left="1648" w:hanging="360"/>
      </w:pPr>
      <w:rPr>
        <w:rFonts w:ascii="Symbol" w:eastAsia="Times New Roman" w:hAnsi="Symbol" w:cs="Times New Roman" w:hint="default"/>
        <w:b/>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num w:numId="1">
    <w:abstractNumId w:val="7"/>
  </w:num>
  <w:num w:numId="2">
    <w:abstractNumId w:val="19"/>
  </w:num>
  <w:num w:numId="3">
    <w:abstractNumId w:val="19"/>
  </w:num>
  <w:num w:numId="4">
    <w:abstractNumId w:val="7"/>
  </w:num>
  <w:num w:numId="5">
    <w:abstractNumId w:val="19"/>
  </w:num>
  <w:num w:numId="6">
    <w:abstractNumId w:val="2"/>
  </w:num>
  <w:num w:numId="7">
    <w:abstractNumId w:val="20"/>
  </w:num>
  <w:num w:numId="8">
    <w:abstractNumId w:val="1"/>
  </w:num>
  <w:num w:numId="9">
    <w:abstractNumId w:val="9"/>
  </w:num>
  <w:num w:numId="10">
    <w:abstractNumId w:val="11"/>
  </w:num>
  <w:num w:numId="11">
    <w:abstractNumId w:val="14"/>
  </w:num>
  <w:num w:numId="12">
    <w:abstractNumId w:val="5"/>
  </w:num>
  <w:num w:numId="13">
    <w:abstractNumId w:val="16"/>
  </w:num>
  <w:num w:numId="14">
    <w:abstractNumId w:val="4"/>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0"/>
  </w:num>
  <w:num w:numId="20">
    <w:abstractNumId w:val="8"/>
  </w:num>
  <w:num w:numId="21">
    <w:abstractNumId w:val="18"/>
  </w:num>
  <w:num w:numId="22">
    <w:abstractNumId w:val="21"/>
  </w:num>
  <w:num w:numId="23">
    <w:abstractNumId w:val="24"/>
  </w:num>
  <w:num w:numId="24">
    <w:abstractNumId w:val="22"/>
  </w:num>
  <w:num w:numId="25">
    <w:abstractNumId w:val="3"/>
  </w:num>
  <w:num w:numId="26">
    <w:abstractNumId w:val="13"/>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1B"/>
    <w:rsid w:val="0000000F"/>
    <w:rsid w:val="00000B34"/>
    <w:rsid w:val="00002435"/>
    <w:rsid w:val="00006752"/>
    <w:rsid w:val="00007AF2"/>
    <w:rsid w:val="00012818"/>
    <w:rsid w:val="00012A37"/>
    <w:rsid w:val="00016CCF"/>
    <w:rsid w:val="00021855"/>
    <w:rsid w:val="0002215F"/>
    <w:rsid w:val="00022184"/>
    <w:rsid w:val="00024758"/>
    <w:rsid w:val="00024771"/>
    <w:rsid w:val="00024F90"/>
    <w:rsid w:val="000252F9"/>
    <w:rsid w:val="00026439"/>
    <w:rsid w:val="0003059F"/>
    <w:rsid w:val="00030729"/>
    <w:rsid w:val="00032EC1"/>
    <w:rsid w:val="0003306F"/>
    <w:rsid w:val="000364D9"/>
    <w:rsid w:val="00037F23"/>
    <w:rsid w:val="000403F1"/>
    <w:rsid w:val="00041BE5"/>
    <w:rsid w:val="00041DC3"/>
    <w:rsid w:val="00042955"/>
    <w:rsid w:val="00043753"/>
    <w:rsid w:val="00044DF7"/>
    <w:rsid w:val="00045B58"/>
    <w:rsid w:val="0004655C"/>
    <w:rsid w:val="00047E17"/>
    <w:rsid w:val="000504CD"/>
    <w:rsid w:val="000523CF"/>
    <w:rsid w:val="00052E2B"/>
    <w:rsid w:val="00053D84"/>
    <w:rsid w:val="00053DEA"/>
    <w:rsid w:val="000562EA"/>
    <w:rsid w:val="000563D2"/>
    <w:rsid w:val="00056DC9"/>
    <w:rsid w:val="00057F6A"/>
    <w:rsid w:val="00060F60"/>
    <w:rsid w:val="00061300"/>
    <w:rsid w:val="000616CC"/>
    <w:rsid w:val="00063EAD"/>
    <w:rsid w:val="00064095"/>
    <w:rsid w:val="00065A9F"/>
    <w:rsid w:val="00067304"/>
    <w:rsid w:val="000702D0"/>
    <w:rsid w:val="0007081F"/>
    <w:rsid w:val="00083F8C"/>
    <w:rsid w:val="00084594"/>
    <w:rsid w:val="000861AE"/>
    <w:rsid w:val="00086A84"/>
    <w:rsid w:val="00086CCC"/>
    <w:rsid w:val="00090567"/>
    <w:rsid w:val="00095211"/>
    <w:rsid w:val="00095EE3"/>
    <w:rsid w:val="000961EC"/>
    <w:rsid w:val="00096F70"/>
    <w:rsid w:val="000975B6"/>
    <w:rsid w:val="00097E58"/>
    <w:rsid w:val="00097F7A"/>
    <w:rsid w:val="000A0272"/>
    <w:rsid w:val="000A0BAF"/>
    <w:rsid w:val="000A1DB9"/>
    <w:rsid w:val="000A1E3D"/>
    <w:rsid w:val="000A4155"/>
    <w:rsid w:val="000A4698"/>
    <w:rsid w:val="000A5435"/>
    <w:rsid w:val="000A60FD"/>
    <w:rsid w:val="000B4BE3"/>
    <w:rsid w:val="000B60B0"/>
    <w:rsid w:val="000B67C9"/>
    <w:rsid w:val="000B74D5"/>
    <w:rsid w:val="000C1E34"/>
    <w:rsid w:val="000C5D9D"/>
    <w:rsid w:val="000D220B"/>
    <w:rsid w:val="000D22B6"/>
    <w:rsid w:val="000D22CB"/>
    <w:rsid w:val="000D2942"/>
    <w:rsid w:val="000D317B"/>
    <w:rsid w:val="000D39E6"/>
    <w:rsid w:val="000D3D68"/>
    <w:rsid w:val="000D475C"/>
    <w:rsid w:val="000D4E86"/>
    <w:rsid w:val="000D5E39"/>
    <w:rsid w:val="000D6204"/>
    <w:rsid w:val="000D651D"/>
    <w:rsid w:val="000D6B40"/>
    <w:rsid w:val="000D6F82"/>
    <w:rsid w:val="000D738F"/>
    <w:rsid w:val="000E1502"/>
    <w:rsid w:val="000E383F"/>
    <w:rsid w:val="000E4599"/>
    <w:rsid w:val="000E51D4"/>
    <w:rsid w:val="000E5B8A"/>
    <w:rsid w:val="000F3BE7"/>
    <w:rsid w:val="000F6C2D"/>
    <w:rsid w:val="001027CA"/>
    <w:rsid w:val="00105BA4"/>
    <w:rsid w:val="001068A8"/>
    <w:rsid w:val="00107208"/>
    <w:rsid w:val="00112D2D"/>
    <w:rsid w:val="001136A4"/>
    <w:rsid w:val="001209F9"/>
    <w:rsid w:val="001233B4"/>
    <w:rsid w:val="0012503F"/>
    <w:rsid w:val="00125EA8"/>
    <w:rsid w:val="0012633C"/>
    <w:rsid w:val="00130904"/>
    <w:rsid w:val="00131F40"/>
    <w:rsid w:val="00134604"/>
    <w:rsid w:val="001363DF"/>
    <w:rsid w:val="0013650F"/>
    <w:rsid w:val="00136D9A"/>
    <w:rsid w:val="00137102"/>
    <w:rsid w:val="00141E1E"/>
    <w:rsid w:val="00142295"/>
    <w:rsid w:val="00143BF4"/>
    <w:rsid w:val="00144452"/>
    <w:rsid w:val="001446C2"/>
    <w:rsid w:val="00144747"/>
    <w:rsid w:val="00146789"/>
    <w:rsid w:val="0015083E"/>
    <w:rsid w:val="00151312"/>
    <w:rsid w:val="00151A66"/>
    <w:rsid w:val="00152CAF"/>
    <w:rsid w:val="001541E6"/>
    <w:rsid w:val="001629AD"/>
    <w:rsid w:val="001630CC"/>
    <w:rsid w:val="00163391"/>
    <w:rsid w:val="001711ED"/>
    <w:rsid w:val="0017556E"/>
    <w:rsid w:val="00177E38"/>
    <w:rsid w:val="00181BA6"/>
    <w:rsid w:val="00182D40"/>
    <w:rsid w:val="001864D8"/>
    <w:rsid w:val="00187A93"/>
    <w:rsid w:val="00191763"/>
    <w:rsid w:val="001931F3"/>
    <w:rsid w:val="00194237"/>
    <w:rsid w:val="001955B5"/>
    <w:rsid w:val="001A0697"/>
    <w:rsid w:val="001A0824"/>
    <w:rsid w:val="001A20CB"/>
    <w:rsid w:val="001A21D5"/>
    <w:rsid w:val="001A2EDD"/>
    <w:rsid w:val="001A378A"/>
    <w:rsid w:val="001A3CED"/>
    <w:rsid w:val="001A54E2"/>
    <w:rsid w:val="001A6099"/>
    <w:rsid w:val="001B0498"/>
    <w:rsid w:val="001B1D20"/>
    <w:rsid w:val="001B275E"/>
    <w:rsid w:val="001B7923"/>
    <w:rsid w:val="001B79C4"/>
    <w:rsid w:val="001C0382"/>
    <w:rsid w:val="001C23F8"/>
    <w:rsid w:val="001C467E"/>
    <w:rsid w:val="001C4D83"/>
    <w:rsid w:val="001C784E"/>
    <w:rsid w:val="001D0DEF"/>
    <w:rsid w:val="001D3776"/>
    <w:rsid w:val="001D3FA5"/>
    <w:rsid w:val="001D448A"/>
    <w:rsid w:val="001D458C"/>
    <w:rsid w:val="001D6421"/>
    <w:rsid w:val="001E0BAD"/>
    <w:rsid w:val="001E22A4"/>
    <w:rsid w:val="001E5AF8"/>
    <w:rsid w:val="001E5B98"/>
    <w:rsid w:val="001E67B4"/>
    <w:rsid w:val="001E6E8B"/>
    <w:rsid w:val="001F1A52"/>
    <w:rsid w:val="001F1D06"/>
    <w:rsid w:val="001F1ED2"/>
    <w:rsid w:val="001F2099"/>
    <w:rsid w:val="001F3ED0"/>
    <w:rsid w:val="001F540C"/>
    <w:rsid w:val="001F5475"/>
    <w:rsid w:val="00202DDD"/>
    <w:rsid w:val="00203759"/>
    <w:rsid w:val="00204028"/>
    <w:rsid w:val="0020700E"/>
    <w:rsid w:val="00211F10"/>
    <w:rsid w:val="00212A6B"/>
    <w:rsid w:val="002142B0"/>
    <w:rsid w:val="0021517C"/>
    <w:rsid w:val="002163FC"/>
    <w:rsid w:val="00216639"/>
    <w:rsid w:val="0022146C"/>
    <w:rsid w:val="002239E0"/>
    <w:rsid w:val="002242EC"/>
    <w:rsid w:val="002253A0"/>
    <w:rsid w:val="0022701C"/>
    <w:rsid w:val="002310F3"/>
    <w:rsid w:val="0023386C"/>
    <w:rsid w:val="00233C3D"/>
    <w:rsid w:val="00234952"/>
    <w:rsid w:val="00240778"/>
    <w:rsid w:val="00242696"/>
    <w:rsid w:val="002440CF"/>
    <w:rsid w:val="0024660E"/>
    <w:rsid w:val="00247D56"/>
    <w:rsid w:val="0025213D"/>
    <w:rsid w:val="002529AD"/>
    <w:rsid w:val="002538DA"/>
    <w:rsid w:val="00253B59"/>
    <w:rsid w:val="00254DDC"/>
    <w:rsid w:val="0025586C"/>
    <w:rsid w:val="00255EFE"/>
    <w:rsid w:val="00263624"/>
    <w:rsid w:val="00264954"/>
    <w:rsid w:val="00264A60"/>
    <w:rsid w:val="002650C2"/>
    <w:rsid w:val="002671EF"/>
    <w:rsid w:val="002677D9"/>
    <w:rsid w:val="00270086"/>
    <w:rsid w:val="00271651"/>
    <w:rsid w:val="00271A44"/>
    <w:rsid w:val="00273BAD"/>
    <w:rsid w:val="002752E5"/>
    <w:rsid w:val="00275ABA"/>
    <w:rsid w:val="002763E6"/>
    <w:rsid w:val="00276DFB"/>
    <w:rsid w:val="002771A4"/>
    <w:rsid w:val="002805BC"/>
    <w:rsid w:val="00281B5F"/>
    <w:rsid w:val="00283777"/>
    <w:rsid w:val="002874B3"/>
    <w:rsid w:val="0028778A"/>
    <w:rsid w:val="00291AED"/>
    <w:rsid w:val="002936D7"/>
    <w:rsid w:val="00293FE7"/>
    <w:rsid w:val="00296201"/>
    <w:rsid w:val="0029711E"/>
    <w:rsid w:val="00297C94"/>
    <w:rsid w:val="002A1F78"/>
    <w:rsid w:val="002A3CAE"/>
    <w:rsid w:val="002A5214"/>
    <w:rsid w:val="002B0296"/>
    <w:rsid w:val="002B28C0"/>
    <w:rsid w:val="002B29C1"/>
    <w:rsid w:val="002B29FD"/>
    <w:rsid w:val="002C01B8"/>
    <w:rsid w:val="002C2A62"/>
    <w:rsid w:val="002C2C28"/>
    <w:rsid w:val="002C5BF4"/>
    <w:rsid w:val="002C5FE0"/>
    <w:rsid w:val="002D3FDE"/>
    <w:rsid w:val="002D5F62"/>
    <w:rsid w:val="002D65AE"/>
    <w:rsid w:val="002D7DF6"/>
    <w:rsid w:val="002E3634"/>
    <w:rsid w:val="002E469A"/>
    <w:rsid w:val="002E54E1"/>
    <w:rsid w:val="002F453F"/>
    <w:rsid w:val="002F4B78"/>
    <w:rsid w:val="002F6983"/>
    <w:rsid w:val="00305821"/>
    <w:rsid w:val="00306228"/>
    <w:rsid w:val="003063C3"/>
    <w:rsid w:val="00306DB6"/>
    <w:rsid w:val="00310BBC"/>
    <w:rsid w:val="00314CD1"/>
    <w:rsid w:val="003168B0"/>
    <w:rsid w:val="00317E57"/>
    <w:rsid w:val="0032300D"/>
    <w:rsid w:val="003233ED"/>
    <w:rsid w:val="00325736"/>
    <w:rsid w:val="00326321"/>
    <w:rsid w:val="00327715"/>
    <w:rsid w:val="003314EA"/>
    <w:rsid w:val="00332F70"/>
    <w:rsid w:val="003331A2"/>
    <w:rsid w:val="003348DF"/>
    <w:rsid w:val="003350E3"/>
    <w:rsid w:val="0033525A"/>
    <w:rsid w:val="00335EA7"/>
    <w:rsid w:val="00337045"/>
    <w:rsid w:val="003408EA"/>
    <w:rsid w:val="00340951"/>
    <w:rsid w:val="00340C68"/>
    <w:rsid w:val="00341559"/>
    <w:rsid w:val="00341D34"/>
    <w:rsid w:val="003427EE"/>
    <w:rsid w:val="0034404F"/>
    <w:rsid w:val="00356383"/>
    <w:rsid w:val="00356D00"/>
    <w:rsid w:val="003577F8"/>
    <w:rsid w:val="00360952"/>
    <w:rsid w:val="0036284C"/>
    <w:rsid w:val="00364139"/>
    <w:rsid w:val="0036760C"/>
    <w:rsid w:val="00372F35"/>
    <w:rsid w:val="00372FF5"/>
    <w:rsid w:val="00373652"/>
    <w:rsid w:val="00373C14"/>
    <w:rsid w:val="00374D7E"/>
    <w:rsid w:val="00376038"/>
    <w:rsid w:val="0038110C"/>
    <w:rsid w:val="00381636"/>
    <w:rsid w:val="00381B04"/>
    <w:rsid w:val="00382B1B"/>
    <w:rsid w:val="00382F91"/>
    <w:rsid w:val="00383E68"/>
    <w:rsid w:val="0038420C"/>
    <w:rsid w:val="00387D7F"/>
    <w:rsid w:val="00390D18"/>
    <w:rsid w:val="00393CE2"/>
    <w:rsid w:val="003940FF"/>
    <w:rsid w:val="00396ED9"/>
    <w:rsid w:val="003A1A70"/>
    <w:rsid w:val="003A2ACB"/>
    <w:rsid w:val="003A6203"/>
    <w:rsid w:val="003A76AF"/>
    <w:rsid w:val="003B0228"/>
    <w:rsid w:val="003B0DFF"/>
    <w:rsid w:val="003B1921"/>
    <w:rsid w:val="003B5DFB"/>
    <w:rsid w:val="003B737C"/>
    <w:rsid w:val="003B78CF"/>
    <w:rsid w:val="003B7928"/>
    <w:rsid w:val="003B7C65"/>
    <w:rsid w:val="003C206A"/>
    <w:rsid w:val="003C2520"/>
    <w:rsid w:val="003C32AF"/>
    <w:rsid w:val="003C43DB"/>
    <w:rsid w:val="003C4DD7"/>
    <w:rsid w:val="003C645A"/>
    <w:rsid w:val="003D0129"/>
    <w:rsid w:val="003D20C6"/>
    <w:rsid w:val="003D211B"/>
    <w:rsid w:val="003D4D6F"/>
    <w:rsid w:val="003E1319"/>
    <w:rsid w:val="003E49B8"/>
    <w:rsid w:val="003E4FE4"/>
    <w:rsid w:val="003E5DAA"/>
    <w:rsid w:val="003E7460"/>
    <w:rsid w:val="003F0F29"/>
    <w:rsid w:val="003F38C2"/>
    <w:rsid w:val="003F6E41"/>
    <w:rsid w:val="003F723D"/>
    <w:rsid w:val="003F7A48"/>
    <w:rsid w:val="00405FD9"/>
    <w:rsid w:val="00406B4B"/>
    <w:rsid w:val="00410252"/>
    <w:rsid w:val="00415C82"/>
    <w:rsid w:val="004175D4"/>
    <w:rsid w:val="00422798"/>
    <w:rsid w:val="004242B3"/>
    <w:rsid w:val="00424C7C"/>
    <w:rsid w:val="00426266"/>
    <w:rsid w:val="0042768D"/>
    <w:rsid w:val="00427FDB"/>
    <w:rsid w:val="00430CCB"/>
    <w:rsid w:val="00431C52"/>
    <w:rsid w:val="00431F51"/>
    <w:rsid w:val="00432012"/>
    <w:rsid w:val="0043324C"/>
    <w:rsid w:val="004333F5"/>
    <w:rsid w:val="00435132"/>
    <w:rsid w:val="00437129"/>
    <w:rsid w:val="00440052"/>
    <w:rsid w:val="004411D4"/>
    <w:rsid w:val="004427D5"/>
    <w:rsid w:val="004431F4"/>
    <w:rsid w:val="004437C2"/>
    <w:rsid w:val="00443E9D"/>
    <w:rsid w:val="004450E3"/>
    <w:rsid w:val="00445574"/>
    <w:rsid w:val="00445C02"/>
    <w:rsid w:val="00446A01"/>
    <w:rsid w:val="00450389"/>
    <w:rsid w:val="00450A88"/>
    <w:rsid w:val="00452F06"/>
    <w:rsid w:val="004544D7"/>
    <w:rsid w:val="00454FDA"/>
    <w:rsid w:val="004557CC"/>
    <w:rsid w:val="00455D71"/>
    <w:rsid w:val="00457ADC"/>
    <w:rsid w:val="0046563A"/>
    <w:rsid w:val="00465FE8"/>
    <w:rsid w:val="004665BE"/>
    <w:rsid w:val="00467567"/>
    <w:rsid w:val="004708BB"/>
    <w:rsid w:val="00470D3A"/>
    <w:rsid w:val="004727F9"/>
    <w:rsid w:val="004738D1"/>
    <w:rsid w:val="00473A5E"/>
    <w:rsid w:val="00474BD3"/>
    <w:rsid w:val="00474EA3"/>
    <w:rsid w:val="00475092"/>
    <w:rsid w:val="0047595A"/>
    <w:rsid w:val="00475B3C"/>
    <w:rsid w:val="004767D3"/>
    <w:rsid w:val="00480358"/>
    <w:rsid w:val="00481387"/>
    <w:rsid w:val="0048606E"/>
    <w:rsid w:val="00486349"/>
    <w:rsid w:val="00487297"/>
    <w:rsid w:val="00487DED"/>
    <w:rsid w:val="00492154"/>
    <w:rsid w:val="00495467"/>
    <w:rsid w:val="004A05ED"/>
    <w:rsid w:val="004A433E"/>
    <w:rsid w:val="004A4860"/>
    <w:rsid w:val="004A4A62"/>
    <w:rsid w:val="004A5314"/>
    <w:rsid w:val="004A5894"/>
    <w:rsid w:val="004A7944"/>
    <w:rsid w:val="004B1529"/>
    <w:rsid w:val="004B3300"/>
    <w:rsid w:val="004C11EF"/>
    <w:rsid w:val="004C1C57"/>
    <w:rsid w:val="004C2724"/>
    <w:rsid w:val="004C2A10"/>
    <w:rsid w:val="004C37C8"/>
    <w:rsid w:val="004C3837"/>
    <w:rsid w:val="004C46FE"/>
    <w:rsid w:val="004C6418"/>
    <w:rsid w:val="004D0E71"/>
    <w:rsid w:val="004D1A1D"/>
    <w:rsid w:val="004D1E51"/>
    <w:rsid w:val="004D26B6"/>
    <w:rsid w:val="004D2966"/>
    <w:rsid w:val="004D45C9"/>
    <w:rsid w:val="004D4A79"/>
    <w:rsid w:val="004D6CE4"/>
    <w:rsid w:val="004D6D92"/>
    <w:rsid w:val="004E0B76"/>
    <w:rsid w:val="004E33C7"/>
    <w:rsid w:val="004E3D4D"/>
    <w:rsid w:val="004E54BA"/>
    <w:rsid w:val="004E5FE2"/>
    <w:rsid w:val="004F10CB"/>
    <w:rsid w:val="004F4F08"/>
    <w:rsid w:val="004F62E6"/>
    <w:rsid w:val="00500825"/>
    <w:rsid w:val="005022A6"/>
    <w:rsid w:val="00502FD5"/>
    <w:rsid w:val="0051083B"/>
    <w:rsid w:val="00515606"/>
    <w:rsid w:val="0051779D"/>
    <w:rsid w:val="00524506"/>
    <w:rsid w:val="005255FD"/>
    <w:rsid w:val="00530354"/>
    <w:rsid w:val="0053129F"/>
    <w:rsid w:val="005324A3"/>
    <w:rsid w:val="00532619"/>
    <w:rsid w:val="0053747C"/>
    <w:rsid w:val="00537494"/>
    <w:rsid w:val="00542070"/>
    <w:rsid w:val="00545847"/>
    <w:rsid w:val="00546BFB"/>
    <w:rsid w:val="0055066D"/>
    <w:rsid w:val="00550E69"/>
    <w:rsid w:val="0055100E"/>
    <w:rsid w:val="00551E59"/>
    <w:rsid w:val="00556DF1"/>
    <w:rsid w:val="0056015F"/>
    <w:rsid w:val="005604EE"/>
    <w:rsid w:val="00561B56"/>
    <w:rsid w:val="0056228B"/>
    <w:rsid w:val="005629CC"/>
    <w:rsid w:val="00564D1D"/>
    <w:rsid w:val="00566831"/>
    <w:rsid w:val="00575C82"/>
    <w:rsid w:val="005816D3"/>
    <w:rsid w:val="0058551B"/>
    <w:rsid w:val="005903D4"/>
    <w:rsid w:val="00591535"/>
    <w:rsid w:val="005915DE"/>
    <w:rsid w:val="005924FD"/>
    <w:rsid w:val="00594761"/>
    <w:rsid w:val="0059680D"/>
    <w:rsid w:val="00596DE5"/>
    <w:rsid w:val="005A1890"/>
    <w:rsid w:val="005A3A68"/>
    <w:rsid w:val="005A59D1"/>
    <w:rsid w:val="005A686F"/>
    <w:rsid w:val="005B002E"/>
    <w:rsid w:val="005B34E6"/>
    <w:rsid w:val="005B6BC6"/>
    <w:rsid w:val="005C0867"/>
    <w:rsid w:val="005C3F8F"/>
    <w:rsid w:val="005C4F01"/>
    <w:rsid w:val="005C621F"/>
    <w:rsid w:val="005D1326"/>
    <w:rsid w:val="005D1FE4"/>
    <w:rsid w:val="005D2524"/>
    <w:rsid w:val="005D33FA"/>
    <w:rsid w:val="005D6CB1"/>
    <w:rsid w:val="005E5178"/>
    <w:rsid w:val="005E671F"/>
    <w:rsid w:val="005E6828"/>
    <w:rsid w:val="005E7C20"/>
    <w:rsid w:val="005F2AEC"/>
    <w:rsid w:val="005F57CC"/>
    <w:rsid w:val="005F639A"/>
    <w:rsid w:val="005F6527"/>
    <w:rsid w:val="006053B6"/>
    <w:rsid w:val="00606A9F"/>
    <w:rsid w:val="00606BAF"/>
    <w:rsid w:val="00607A94"/>
    <w:rsid w:val="00607F92"/>
    <w:rsid w:val="0061033C"/>
    <w:rsid w:val="00611093"/>
    <w:rsid w:val="006114B0"/>
    <w:rsid w:val="006123C9"/>
    <w:rsid w:val="00614C8A"/>
    <w:rsid w:val="00615700"/>
    <w:rsid w:val="006168E7"/>
    <w:rsid w:val="006221A6"/>
    <w:rsid w:val="0062428D"/>
    <w:rsid w:val="00624593"/>
    <w:rsid w:val="00627538"/>
    <w:rsid w:val="006332BC"/>
    <w:rsid w:val="006366D9"/>
    <w:rsid w:val="00637CE1"/>
    <w:rsid w:val="00640B25"/>
    <w:rsid w:val="006421A5"/>
    <w:rsid w:val="00642D86"/>
    <w:rsid w:val="006443B9"/>
    <w:rsid w:val="006446DD"/>
    <w:rsid w:val="00647CF1"/>
    <w:rsid w:val="006503E5"/>
    <w:rsid w:val="00650A75"/>
    <w:rsid w:val="00651B89"/>
    <w:rsid w:val="00652597"/>
    <w:rsid w:val="0065307F"/>
    <w:rsid w:val="00653FD9"/>
    <w:rsid w:val="006556E9"/>
    <w:rsid w:val="006556EF"/>
    <w:rsid w:val="0065733F"/>
    <w:rsid w:val="00661A99"/>
    <w:rsid w:val="006639D6"/>
    <w:rsid w:val="00666482"/>
    <w:rsid w:val="00666A73"/>
    <w:rsid w:val="00667429"/>
    <w:rsid w:val="006675A2"/>
    <w:rsid w:val="00667E38"/>
    <w:rsid w:val="00670AF8"/>
    <w:rsid w:val="00671E37"/>
    <w:rsid w:val="00673365"/>
    <w:rsid w:val="0067359E"/>
    <w:rsid w:val="006756C5"/>
    <w:rsid w:val="00676926"/>
    <w:rsid w:val="00681C4A"/>
    <w:rsid w:val="00682BE9"/>
    <w:rsid w:val="006837E7"/>
    <w:rsid w:val="00684B8B"/>
    <w:rsid w:val="00687A76"/>
    <w:rsid w:val="0069024A"/>
    <w:rsid w:val="00690E02"/>
    <w:rsid w:val="00690EC1"/>
    <w:rsid w:val="00691545"/>
    <w:rsid w:val="00691DF3"/>
    <w:rsid w:val="00692AAC"/>
    <w:rsid w:val="0069698D"/>
    <w:rsid w:val="006975A8"/>
    <w:rsid w:val="006975CB"/>
    <w:rsid w:val="006A1FB7"/>
    <w:rsid w:val="006A2BCB"/>
    <w:rsid w:val="006A3957"/>
    <w:rsid w:val="006A629C"/>
    <w:rsid w:val="006B0DEA"/>
    <w:rsid w:val="006B428D"/>
    <w:rsid w:val="006B60F2"/>
    <w:rsid w:val="006B7F7C"/>
    <w:rsid w:val="006C0F72"/>
    <w:rsid w:val="006C3E7E"/>
    <w:rsid w:val="006C40AA"/>
    <w:rsid w:val="006C6F65"/>
    <w:rsid w:val="006C73D0"/>
    <w:rsid w:val="006D30B1"/>
    <w:rsid w:val="006D5B8C"/>
    <w:rsid w:val="006D6169"/>
    <w:rsid w:val="006E2C9C"/>
    <w:rsid w:val="006E4092"/>
    <w:rsid w:val="006E49AD"/>
    <w:rsid w:val="006E61F3"/>
    <w:rsid w:val="006F20EB"/>
    <w:rsid w:val="006F2DBA"/>
    <w:rsid w:val="006F5ACC"/>
    <w:rsid w:val="00701170"/>
    <w:rsid w:val="00704A98"/>
    <w:rsid w:val="00705B52"/>
    <w:rsid w:val="00707957"/>
    <w:rsid w:val="007106E3"/>
    <w:rsid w:val="007155FF"/>
    <w:rsid w:val="00717090"/>
    <w:rsid w:val="00717901"/>
    <w:rsid w:val="0071790A"/>
    <w:rsid w:val="00717F44"/>
    <w:rsid w:val="00721344"/>
    <w:rsid w:val="0072147A"/>
    <w:rsid w:val="00726A24"/>
    <w:rsid w:val="007274BE"/>
    <w:rsid w:val="007309AB"/>
    <w:rsid w:val="00732489"/>
    <w:rsid w:val="007361A6"/>
    <w:rsid w:val="007364C1"/>
    <w:rsid w:val="007372FC"/>
    <w:rsid w:val="00741BF5"/>
    <w:rsid w:val="00742DBA"/>
    <w:rsid w:val="007455A1"/>
    <w:rsid w:val="00745F0C"/>
    <w:rsid w:val="00752946"/>
    <w:rsid w:val="00755E25"/>
    <w:rsid w:val="00761DED"/>
    <w:rsid w:val="00763A42"/>
    <w:rsid w:val="007664D0"/>
    <w:rsid w:val="00770DDB"/>
    <w:rsid w:val="00771F8B"/>
    <w:rsid w:val="00773536"/>
    <w:rsid w:val="00773F49"/>
    <w:rsid w:val="00774B48"/>
    <w:rsid w:val="007753EF"/>
    <w:rsid w:val="0077589E"/>
    <w:rsid w:val="007763B4"/>
    <w:rsid w:val="00777BEA"/>
    <w:rsid w:val="00780A7D"/>
    <w:rsid w:val="00782F11"/>
    <w:rsid w:val="00785D11"/>
    <w:rsid w:val="007868FE"/>
    <w:rsid w:val="0079063E"/>
    <w:rsid w:val="00790688"/>
    <w:rsid w:val="00790C91"/>
    <w:rsid w:val="00792A2B"/>
    <w:rsid w:val="00797EC3"/>
    <w:rsid w:val="007A05E8"/>
    <w:rsid w:val="007A19F9"/>
    <w:rsid w:val="007A33DE"/>
    <w:rsid w:val="007A4414"/>
    <w:rsid w:val="007A4538"/>
    <w:rsid w:val="007A48BF"/>
    <w:rsid w:val="007A7B03"/>
    <w:rsid w:val="007B1875"/>
    <w:rsid w:val="007B41DE"/>
    <w:rsid w:val="007B4DA0"/>
    <w:rsid w:val="007C011D"/>
    <w:rsid w:val="007C1269"/>
    <w:rsid w:val="007C266F"/>
    <w:rsid w:val="007C7B0C"/>
    <w:rsid w:val="007E06BC"/>
    <w:rsid w:val="007E0901"/>
    <w:rsid w:val="007E0919"/>
    <w:rsid w:val="007E243C"/>
    <w:rsid w:val="007E28DB"/>
    <w:rsid w:val="007E5769"/>
    <w:rsid w:val="007E67CF"/>
    <w:rsid w:val="007F69ED"/>
    <w:rsid w:val="007F6B27"/>
    <w:rsid w:val="008012D6"/>
    <w:rsid w:val="00802966"/>
    <w:rsid w:val="00802BBD"/>
    <w:rsid w:val="00803DAE"/>
    <w:rsid w:val="00804C07"/>
    <w:rsid w:val="00804FB2"/>
    <w:rsid w:val="00807011"/>
    <w:rsid w:val="00807598"/>
    <w:rsid w:val="00814340"/>
    <w:rsid w:val="00814E95"/>
    <w:rsid w:val="00815800"/>
    <w:rsid w:val="00815D6B"/>
    <w:rsid w:val="008164FB"/>
    <w:rsid w:val="00820976"/>
    <w:rsid w:val="0082299A"/>
    <w:rsid w:val="008235EB"/>
    <w:rsid w:val="00826939"/>
    <w:rsid w:val="00826B88"/>
    <w:rsid w:val="00831B0D"/>
    <w:rsid w:val="00832913"/>
    <w:rsid w:val="008335F3"/>
    <w:rsid w:val="00833656"/>
    <w:rsid w:val="008339E1"/>
    <w:rsid w:val="00837399"/>
    <w:rsid w:val="0084190F"/>
    <w:rsid w:val="00841BDB"/>
    <w:rsid w:val="00843AF9"/>
    <w:rsid w:val="00843F1F"/>
    <w:rsid w:val="008512AD"/>
    <w:rsid w:val="008521D5"/>
    <w:rsid w:val="008529E0"/>
    <w:rsid w:val="00852DCA"/>
    <w:rsid w:val="00852FDD"/>
    <w:rsid w:val="00853BE3"/>
    <w:rsid w:val="00854075"/>
    <w:rsid w:val="00854EFF"/>
    <w:rsid w:val="00856492"/>
    <w:rsid w:val="0085771F"/>
    <w:rsid w:val="00857F38"/>
    <w:rsid w:val="00860507"/>
    <w:rsid w:val="00864C63"/>
    <w:rsid w:val="00866399"/>
    <w:rsid w:val="00871BCA"/>
    <w:rsid w:val="008726A8"/>
    <w:rsid w:val="00873AF1"/>
    <w:rsid w:val="00873F2E"/>
    <w:rsid w:val="008751D3"/>
    <w:rsid w:val="00875CB3"/>
    <w:rsid w:val="00877C9B"/>
    <w:rsid w:val="00880F34"/>
    <w:rsid w:val="0088143B"/>
    <w:rsid w:val="00883BFA"/>
    <w:rsid w:val="00884B0E"/>
    <w:rsid w:val="008854BA"/>
    <w:rsid w:val="008907C2"/>
    <w:rsid w:val="008908D2"/>
    <w:rsid w:val="00895E0B"/>
    <w:rsid w:val="0089721C"/>
    <w:rsid w:val="008A03ED"/>
    <w:rsid w:val="008A0671"/>
    <w:rsid w:val="008A1511"/>
    <w:rsid w:val="008A4C36"/>
    <w:rsid w:val="008A5977"/>
    <w:rsid w:val="008A69DE"/>
    <w:rsid w:val="008A7FBE"/>
    <w:rsid w:val="008B09E1"/>
    <w:rsid w:val="008B0B79"/>
    <w:rsid w:val="008B0E65"/>
    <w:rsid w:val="008B265E"/>
    <w:rsid w:val="008B2D4E"/>
    <w:rsid w:val="008B4F3F"/>
    <w:rsid w:val="008B62A9"/>
    <w:rsid w:val="008B75B8"/>
    <w:rsid w:val="008B7A88"/>
    <w:rsid w:val="008C07C3"/>
    <w:rsid w:val="008C094A"/>
    <w:rsid w:val="008C6332"/>
    <w:rsid w:val="008C682E"/>
    <w:rsid w:val="008C68B8"/>
    <w:rsid w:val="008D0B1A"/>
    <w:rsid w:val="008D1040"/>
    <w:rsid w:val="008D2C99"/>
    <w:rsid w:val="008D5BDC"/>
    <w:rsid w:val="008D5DF6"/>
    <w:rsid w:val="008D5ED4"/>
    <w:rsid w:val="008E0442"/>
    <w:rsid w:val="008E4899"/>
    <w:rsid w:val="008E48FB"/>
    <w:rsid w:val="008E673B"/>
    <w:rsid w:val="008E6FD8"/>
    <w:rsid w:val="008F1225"/>
    <w:rsid w:val="008F6E10"/>
    <w:rsid w:val="008F7433"/>
    <w:rsid w:val="00905DA9"/>
    <w:rsid w:val="00906979"/>
    <w:rsid w:val="00912914"/>
    <w:rsid w:val="009139AB"/>
    <w:rsid w:val="00915A8D"/>
    <w:rsid w:val="00916CDD"/>
    <w:rsid w:val="009176F3"/>
    <w:rsid w:val="00920885"/>
    <w:rsid w:val="009212FA"/>
    <w:rsid w:val="00921CCF"/>
    <w:rsid w:val="00922B34"/>
    <w:rsid w:val="00924668"/>
    <w:rsid w:val="0092539C"/>
    <w:rsid w:val="00932B81"/>
    <w:rsid w:val="00932EAE"/>
    <w:rsid w:val="009352B1"/>
    <w:rsid w:val="00935BDD"/>
    <w:rsid w:val="00941DB8"/>
    <w:rsid w:val="00950BAF"/>
    <w:rsid w:val="00950D2E"/>
    <w:rsid w:val="009510CE"/>
    <w:rsid w:val="0095304C"/>
    <w:rsid w:val="009554DE"/>
    <w:rsid w:val="0096149B"/>
    <w:rsid w:val="009616AE"/>
    <w:rsid w:val="00961F13"/>
    <w:rsid w:val="009628E7"/>
    <w:rsid w:val="00963427"/>
    <w:rsid w:val="00967912"/>
    <w:rsid w:val="00967BD4"/>
    <w:rsid w:val="00976834"/>
    <w:rsid w:val="00976997"/>
    <w:rsid w:val="00976EB1"/>
    <w:rsid w:val="009800E0"/>
    <w:rsid w:val="009806B8"/>
    <w:rsid w:val="0098076A"/>
    <w:rsid w:val="00980FE4"/>
    <w:rsid w:val="009818DE"/>
    <w:rsid w:val="00981F12"/>
    <w:rsid w:val="00983D8A"/>
    <w:rsid w:val="00985F75"/>
    <w:rsid w:val="00990B51"/>
    <w:rsid w:val="00992A98"/>
    <w:rsid w:val="00994468"/>
    <w:rsid w:val="00994AF8"/>
    <w:rsid w:val="00994C8F"/>
    <w:rsid w:val="00996372"/>
    <w:rsid w:val="009A07E5"/>
    <w:rsid w:val="009A0BF6"/>
    <w:rsid w:val="009A3AC8"/>
    <w:rsid w:val="009A7A75"/>
    <w:rsid w:val="009A7DBF"/>
    <w:rsid w:val="009B0038"/>
    <w:rsid w:val="009B569B"/>
    <w:rsid w:val="009B66ED"/>
    <w:rsid w:val="009B6B55"/>
    <w:rsid w:val="009C3973"/>
    <w:rsid w:val="009C46F8"/>
    <w:rsid w:val="009C5758"/>
    <w:rsid w:val="009C5C8C"/>
    <w:rsid w:val="009D0159"/>
    <w:rsid w:val="009D0B0D"/>
    <w:rsid w:val="009D0DA0"/>
    <w:rsid w:val="009D1045"/>
    <w:rsid w:val="009D32C3"/>
    <w:rsid w:val="009D46A6"/>
    <w:rsid w:val="009E0234"/>
    <w:rsid w:val="009E4020"/>
    <w:rsid w:val="009E5678"/>
    <w:rsid w:val="009E7410"/>
    <w:rsid w:val="009F023B"/>
    <w:rsid w:val="009F0A7F"/>
    <w:rsid w:val="009F103F"/>
    <w:rsid w:val="009F14F1"/>
    <w:rsid w:val="009F2851"/>
    <w:rsid w:val="009F6747"/>
    <w:rsid w:val="009F6FB1"/>
    <w:rsid w:val="009F713A"/>
    <w:rsid w:val="00A02BFF"/>
    <w:rsid w:val="00A0390B"/>
    <w:rsid w:val="00A050E6"/>
    <w:rsid w:val="00A1171D"/>
    <w:rsid w:val="00A12323"/>
    <w:rsid w:val="00A12950"/>
    <w:rsid w:val="00A15135"/>
    <w:rsid w:val="00A17651"/>
    <w:rsid w:val="00A23D84"/>
    <w:rsid w:val="00A25507"/>
    <w:rsid w:val="00A310A6"/>
    <w:rsid w:val="00A32437"/>
    <w:rsid w:val="00A327E4"/>
    <w:rsid w:val="00A41B30"/>
    <w:rsid w:val="00A442B3"/>
    <w:rsid w:val="00A450B3"/>
    <w:rsid w:val="00A465BE"/>
    <w:rsid w:val="00A51275"/>
    <w:rsid w:val="00A520A1"/>
    <w:rsid w:val="00A536A6"/>
    <w:rsid w:val="00A54760"/>
    <w:rsid w:val="00A5476B"/>
    <w:rsid w:val="00A550EB"/>
    <w:rsid w:val="00A55F9F"/>
    <w:rsid w:val="00A5709B"/>
    <w:rsid w:val="00A60020"/>
    <w:rsid w:val="00A61391"/>
    <w:rsid w:val="00A62F39"/>
    <w:rsid w:val="00A630AF"/>
    <w:rsid w:val="00A63340"/>
    <w:rsid w:val="00A638EC"/>
    <w:rsid w:val="00A65D56"/>
    <w:rsid w:val="00A70266"/>
    <w:rsid w:val="00A70BBA"/>
    <w:rsid w:val="00A82816"/>
    <w:rsid w:val="00A838A6"/>
    <w:rsid w:val="00A83AE9"/>
    <w:rsid w:val="00A86193"/>
    <w:rsid w:val="00A8775D"/>
    <w:rsid w:val="00A87CBA"/>
    <w:rsid w:val="00A93149"/>
    <w:rsid w:val="00A9767E"/>
    <w:rsid w:val="00AA05D2"/>
    <w:rsid w:val="00AA0D55"/>
    <w:rsid w:val="00AA24EB"/>
    <w:rsid w:val="00AA41F1"/>
    <w:rsid w:val="00AA533C"/>
    <w:rsid w:val="00AB1FE2"/>
    <w:rsid w:val="00AB2040"/>
    <w:rsid w:val="00AB2EE8"/>
    <w:rsid w:val="00AB5A0E"/>
    <w:rsid w:val="00AB76D2"/>
    <w:rsid w:val="00AC39D9"/>
    <w:rsid w:val="00AC669C"/>
    <w:rsid w:val="00AD039B"/>
    <w:rsid w:val="00AD3230"/>
    <w:rsid w:val="00AD3EE5"/>
    <w:rsid w:val="00AD50B9"/>
    <w:rsid w:val="00AD5518"/>
    <w:rsid w:val="00AD62C8"/>
    <w:rsid w:val="00AE072D"/>
    <w:rsid w:val="00AE07A1"/>
    <w:rsid w:val="00AE1C92"/>
    <w:rsid w:val="00AE3DAC"/>
    <w:rsid w:val="00AE4FF5"/>
    <w:rsid w:val="00AE5F4F"/>
    <w:rsid w:val="00AE787A"/>
    <w:rsid w:val="00AE7BF6"/>
    <w:rsid w:val="00AF0515"/>
    <w:rsid w:val="00AF0960"/>
    <w:rsid w:val="00AF1681"/>
    <w:rsid w:val="00AF1DB0"/>
    <w:rsid w:val="00AF25F5"/>
    <w:rsid w:val="00AF2D4C"/>
    <w:rsid w:val="00AF3E35"/>
    <w:rsid w:val="00AF48C4"/>
    <w:rsid w:val="00AF6034"/>
    <w:rsid w:val="00B00B20"/>
    <w:rsid w:val="00B00BEE"/>
    <w:rsid w:val="00B0165E"/>
    <w:rsid w:val="00B0720F"/>
    <w:rsid w:val="00B10C63"/>
    <w:rsid w:val="00B10DEA"/>
    <w:rsid w:val="00B1149C"/>
    <w:rsid w:val="00B118DF"/>
    <w:rsid w:val="00B15213"/>
    <w:rsid w:val="00B201FD"/>
    <w:rsid w:val="00B20452"/>
    <w:rsid w:val="00B21D59"/>
    <w:rsid w:val="00B22C2D"/>
    <w:rsid w:val="00B30491"/>
    <w:rsid w:val="00B31A11"/>
    <w:rsid w:val="00B324A6"/>
    <w:rsid w:val="00B32538"/>
    <w:rsid w:val="00B369D5"/>
    <w:rsid w:val="00B36F6E"/>
    <w:rsid w:val="00B37A20"/>
    <w:rsid w:val="00B40C95"/>
    <w:rsid w:val="00B423F5"/>
    <w:rsid w:val="00B44B81"/>
    <w:rsid w:val="00B45771"/>
    <w:rsid w:val="00B45F2E"/>
    <w:rsid w:val="00B51172"/>
    <w:rsid w:val="00B522D8"/>
    <w:rsid w:val="00B53056"/>
    <w:rsid w:val="00B54AB5"/>
    <w:rsid w:val="00B6367B"/>
    <w:rsid w:val="00B6436C"/>
    <w:rsid w:val="00B6502E"/>
    <w:rsid w:val="00B659C7"/>
    <w:rsid w:val="00B65EF3"/>
    <w:rsid w:val="00B67D1F"/>
    <w:rsid w:val="00B741D2"/>
    <w:rsid w:val="00B7498A"/>
    <w:rsid w:val="00B763AF"/>
    <w:rsid w:val="00B76A51"/>
    <w:rsid w:val="00B8129F"/>
    <w:rsid w:val="00B81D26"/>
    <w:rsid w:val="00B82103"/>
    <w:rsid w:val="00B82611"/>
    <w:rsid w:val="00B84364"/>
    <w:rsid w:val="00B848BC"/>
    <w:rsid w:val="00B851D5"/>
    <w:rsid w:val="00B85CE2"/>
    <w:rsid w:val="00B872E4"/>
    <w:rsid w:val="00B904A0"/>
    <w:rsid w:val="00B9136E"/>
    <w:rsid w:val="00B933B1"/>
    <w:rsid w:val="00B93464"/>
    <w:rsid w:val="00B94BD9"/>
    <w:rsid w:val="00B961EF"/>
    <w:rsid w:val="00BA081D"/>
    <w:rsid w:val="00BA0F96"/>
    <w:rsid w:val="00BA2198"/>
    <w:rsid w:val="00BA24EA"/>
    <w:rsid w:val="00BB1169"/>
    <w:rsid w:val="00BB147B"/>
    <w:rsid w:val="00BB33A5"/>
    <w:rsid w:val="00BB40F0"/>
    <w:rsid w:val="00BB59F7"/>
    <w:rsid w:val="00BB6DCA"/>
    <w:rsid w:val="00BB7A1D"/>
    <w:rsid w:val="00BC2D1D"/>
    <w:rsid w:val="00BC312E"/>
    <w:rsid w:val="00BC7C19"/>
    <w:rsid w:val="00BC7F68"/>
    <w:rsid w:val="00BD0669"/>
    <w:rsid w:val="00BD07E1"/>
    <w:rsid w:val="00BD0D2A"/>
    <w:rsid w:val="00BD6207"/>
    <w:rsid w:val="00BE14A5"/>
    <w:rsid w:val="00BE4B5F"/>
    <w:rsid w:val="00BE5EFB"/>
    <w:rsid w:val="00BF3F50"/>
    <w:rsid w:val="00BF416F"/>
    <w:rsid w:val="00BF5663"/>
    <w:rsid w:val="00BF590A"/>
    <w:rsid w:val="00BF73F3"/>
    <w:rsid w:val="00C0034C"/>
    <w:rsid w:val="00C0221A"/>
    <w:rsid w:val="00C03FC5"/>
    <w:rsid w:val="00C0547B"/>
    <w:rsid w:val="00C05C32"/>
    <w:rsid w:val="00C10460"/>
    <w:rsid w:val="00C12A4F"/>
    <w:rsid w:val="00C12DB4"/>
    <w:rsid w:val="00C13330"/>
    <w:rsid w:val="00C14AED"/>
    <w:rsid w:val="00C16AB5"/>
    <w:rsid w:val="00C175F7"/>
    <w:rsid w:val="00C2106B"/>
    <w:rsid w:val="00C2110F"/>
    <w:rsid w:val="00C26569"/>
    <w:rsid w:val="00C27B97"/>
    <w:rsid w:val="00C333CA"/>
    <w:rsid w:val="00C36DAB"/>
    <w:rsid w:val="00C36EDA"/>
    <w:rsid w:val="00C37E71"/>
    <w:rsid w:val="00C4356E"/>
    <w:rsid w:val="00C43A91"/>
    <w:rsid w:val="00C45144"/>
    <w:rsid w:val="00C457EE"/>
    <w:rsid w:val="00C459D8"/>
    <w:rsid w:val="00C470D0"/>
    <w:rsid w:val="00C478EE"/>
    <w:rsid w:val="00C52AA4"/>
    <w:rsid w:val="00C55FD6"/>
    <w:rsid w:val="00C60579"/>
    <w:rsid w:val="00C615BA"/>
    <w:rsid w:val="00C61B6D"/>
    <w:rsid w:val="00C6218F"/>
    <w:rsid w:val="00C64B51"/>
    <w:rsid w:val="00C65C02"/>
    <w:rsid w:val="00C71BBD"/>
    <w:rsid w:val="00C72A67"/>
    <w:rsid w:val="00C74A8A"/>
    <w:rsid w:val="00C751D9"/>
    <w:rsid w:val="00C76B8D"/>
    <w:rsid w:val="00C8000F"/>
    <w:rsid w:val="00C8059E"/>
    <w:rsid w:val="00C80DC7"/>
    <w:rsid w:val="00C8289C"/>
    <w:rsid w:val="00C8368F"/>
    <w:rsid w:val="00C87357"/>
    <w:rsid w:val="00C87D08"/>
    <w:rsid w:val="00C95875"/>
    <w:rsid w:val="00CA2103"/>
    <w:rsid w:val="00CA331F"/>
    <w:rsid w:val="00CA45B8"/>
    <w:rsid w:val="00CA676D"/>
    <w:rsid w:val="00CA7830"/>
    <w:rsid w:val="00CB05E5"/>
    <w:rsid w:val="00CB3119"/>
    <w:rsid w:val="00CB5BC3"/>
    <w:rsid w:val="00CB736D"/>
    <w:rsid w:val="00CC0BE7"/>
    <w:rsid w:val="00CC12AD"/>
    <w:rsid w:val="00CC1F4F"/>
    <w:rsid w:val="00CC3D81"/>
    <w:rsid w:val="00CD0D6B"/>
    <w:rsid w:val="00CD3942"/>
    <w:rsid w:val="00CD3A0E"/>
    <w:rsid w:val="00CD561D"/>
    <w:rsid w:val="00CD7B28"/>
    <w:rsid w:val="00CE0B4D"/>
    <w:rsid w:val="00CE457D"/>
    <w:rsid w:val="00CE6595"/>
    <w:rsid w:val="00CE6F7A"/>
    <w:rsid w:val="00CF0CDE"/>
    <w:rsid w:val="00CF0EE2"/>
    <w:rsid w:val="00CF3AEE"/>
    <w:rsid w:val="00CF4C05"/>
    <w:rsid w:val="00CF503A"/>
    <w:rsid w:val="00CF562C"/>
    <w:rsid w:val="00D03EE6"/>
    <w:rsid w:val="00D07E79"/>
    <w:rsid w:val="00D1035A"/>
    <w:rsid w:val="00D10A4C"/>
    <w:rsid w:val="00D14A9F"/>
    <w:rsid w:val="00D17981"/>
    <w:rsid w:val="00D202F1"/>
    <w:rsid w:val="00D2225C"/>
    <w:rsid w:val="00D25859"/>
    <w:rsid w:val="00D25C0A"/>
    <w:rsid w:val="00D25C51"/>
    <w:rsid w:val="00D300E1"/>
    <w:rsid w:val="00D31069"/>
    <w:rsid w:val="00D31BD8"/>
    <w:rsid w:val="00D31C6D"/>
    <w:rsid w:val="00D3323D"/>
    <w:rsid w:val="00D332D9"/>
    <w:rsid w:val="00D33B00"/>
    <w:rsid w:val="00D364B7"/>
    <w:rsid w:val="00D36DB5"/>
    <w:rsid w:val="00D41B11"/>
    <w:rsid w:val="00D45320"/>
    <w:rsid w:val="00D468B4"/>
    <w:rsid w:val="00D5096E"/>
    <w:rsid w:val="00D51C85"/>
    <w:rsid w:val="00D52966"/>
    <w:rsid w:val="00D53764"/>
    <w:rsid w:val="00D54DA7"/>
    <w:rsid w:val="00D5511B"/>
    <w:rsid w:val="00D62DFA"/>
    <w:rsid w:val="00D66F53"/>
    <w:rsid w:val="00D6792E"/>
    <w:rsid w:val="00D703E0"/>
    <w:rsid w:val="00D703F5"/>
    <w:rsid w:val="00D71500"/>
    <w:rsid w:val="00D725FF"/>
    <w:rsid w:val="00D727A1"/>
    <w:rsid w:val="00D74269"/>
    <w:rsid w:val="00D807C5"/>
    <w:rsid w:val="00D80FF6"/>
    <w:rsid w:val="00D816E8"/>
    <w:rsid w:val="00D91D8E"/>
    <w:rsid w:val="00D92314"/>
    <w:rsid w:val="00D94302"/>
    <w:rsid w:val="00D96713"/>
    <w:rsid w:val="00DA0B7C"/>
    <w:rsid w:val="00DA3007"/>
    <w:rsid w:val="00DA3484"/>
    <w:rsid w:val="00DA4C1A"/>
    <w:rsid w:val="00DA5815"/>
    <w:rsid w:val="00DA6C48"/>
    <w:rsid w:val="00DA7076"/>
    <w:rsid w:val="00DA7B0E"/>
    <w:rsid w:val="00DB4AC2"/>
    <w:rsid w:val="00DB52C5"/>
    <w:rsid w:val="00DB56DD"/>
    <w:rsid w:val="00DC0194"/>
    <w:rsid w:val="00DC0D07"/>
    <w:rsid w:val="00DC3368"/>
    <w:rsid w:val="00DC3C1E"/>
    <w:rsid w:val="00DC5AC9"/>
    <w:rsid w:val="00DD0238"/>
    <w:rsid w:val="00DD130D"/>
    <w:rsid w:val="00DD26CE"/>
    <w:rsid w:val="00DD27F9"/>
    <w:rsid w:val="00DD3277"/>
    <w:rsid w:val="00DD3668"/>
    <w:rsid w:val="00DD509E"/>
    <w:rsid w:val="00DD5F82"/>
    <w:rsid w:val="00DE0F60"/>
    <w:rsid w:val="00DE44E1"/>
    <w:rsid w:val="00DE55C3"/>
    <w:rsid w:val="00DF0644"/>
    <w:rsid w:val="00DF0F32"/>
    <w:rsid w:val="00DF1614"/>
    <w:rsid w:val="00DF446A"/>
    <w:rsid w:val="00DF5B3B"/>
    <w:rsid w:val="00DF6EB3"/>
    <w:rsid w:val="00E00AF2"/>
    <w:rsid w:val="00E01BD4"/>
    <w:rsid w:val="00E03263"/>
    <w:rsid w:val="00E12A17"/>
    <w:rsid w:val="00E22662"/>
    <w:rsid w:val="00E30BC7"/>
    <w:rsid w:val="00E311DF"/>
    <w:rsid w:val="00E349DC"/>
    <w:rsid w:val="00E356D3"/>
    <w:rsid w:val="00E37560"/>
    <w:rsid w:val="00E375F1"/>
    <w:rsid w:val="00E41CA1"/>
    <w:rsid w:val="00E42849"/>
    <w:rsid w:val="00E42955"/>
    <w:rsid w:val="00E51A7B"/>
    <w:rsid w:val="00E51A93"/>
    <w:rsid w:val="00E51CDE"/>
    <w:rsid w:val="00E53C1A"/>
    <w:rsid w:val="00E55569"/>
    <w:rsid w:val="00E565B8"/>
    <w:rsid w:val="00E606D3"/>
    <w:rsid w:val="00E64CB0"/>
    <w:rsid w:val="00E65FDA"/>
    <w:rsid w:val="00E74EF4"/>
    <w:rsid w:val="00E76142"/>
    <w:rsid w:val="00E7724E"/>
    <w:rsid w:val="00E77277"/>
    <w:rsid w:val="00E8058D"/>
    <w:rsid w:val="00E80F20"/>
    <w:rsid w:val="00E86D96"/>
    <w:rsid w:val="00E960D8"/>
    <w:rsid w:val="00E9693B"/>
    <w:rsid w:val="00E97636"/>
    <w:rsid w:val="00E97EB2"/>
    <w:rsid w:val="00EA08FC"/>
    <w:rsid w:val="00EA161A"/>
    <w:rsid w:val="00EA178A"/>
    <w:rsid w:val="00EA6DF3"/>
    <w:rsid w:val="00EB0F8D"/>
    <w:rsid w:val="00EB2C8A"/>
    <w:rsid w:val="00EB4C09"/>
    <w:rsid w:val="00EB5061"/>
    <w:rsid w:val="00EB5D73"/>
    <w:rsid w:val="00EB60E8"/>
    <w:rsid w:val="00EB661A"/>
    <w:rsid w:val="00EB7631"/>
    <w:rsid w:val="00EB7E64"/>
    <w:rsid w:val="00EC19F3"/>
    <w:rsid w:val="00EC29A7"/>
    <w:rsid w:val="00EC5D89"/>
    <w:rsid w:val="00EC7266"/>
    <w:rsid w:val="00ED01AC"/>
    <w:rsid w:val="00ED091B"/>
    <w:rsid w:val="00ED18DC"/>
    <w:rsid w:val="00ED3122"/>
    <w:rsid w:val="00ED35C4"/>
    <w:rsid w:val="00ED7578"/>
    <w:rsid w:val="00EE43EF"/>
    <w:rsid w:val="00EE4A75"/>
    <w:rsid w:val="00EE5728"/>
    <w:rsid w:val="00EF1CCB"/>
    <w:rsid w:val="00EF28E8"/>
    <w:rsid w:val="00EF2B59"/>
    <w:rsid w:val="00EF3E64"/>
    <w:rsid w:val="00EF42B5"/>
    <w:rsid w:val="00EF43B4"/>
    <w:rsid w:val="00EF45F9"/>
    <w:rsid w:val="00EF531E"/>
    <w:rsid w:val="00EF57CE"/>
    <w:rsid w:val="00EF71AF"/>
    <w:rsid w:val="00F00D31"/>
    <w:rsid w:val="00F00FDE"/>
    <w:rsid w:val="00F0358D"/>
    <w:rsid w:val="00F042BC"/>
    <w:rsid w:val="00F05770"/>
    <w:rsid w:val="00F05D18"/>
    <w:rsid w:val="00F07BEE"/>
    <w:rsid w:val="00F10AA6"/>
    <w:rsid w:val="00F11439"/>
    <w:rsid w:val="00F11B02"/>
    <w:rsid w:val="00F151C4"/>
    <w:rsid w:val="00F15AF0"/>
    <w:rsid w:val="00F16C30"/>
    <w:rsid w:val="00F20780"/>
    <w:rsid w:val="00F2233B"/>
    <w:rsid w:val="00F232C7"/>
    <w:rsid w:val="00F2352C"/>
    <w:rsid w:val="00F2425F"/>
    <w:rsid w:val="00F25080"/>
    <w:rsid w:val="00F30763"/>
    <w:rsid w:val="00F30BD0"/>
    <w:rsid w:val="00F30F53"/>
    <w:rsid w:val="00F30FCD"/>
    <w:rsid w:val="00F32033"/>
    <w:rsid w:val="00F331D7"/>
    <w:rsid w:val="00F3369E"/>
    <w:rsid w:val="00F35FF0"/>
    <w:rsid w:val="00F36408"/>
    <w:rsid w:val="00F4254E"/>
    <w:rsid w:val="00F44A41"/>
    <w:rsid w:val="00F4792B"/>
    <w:rsid w:val="00F5008C"/>
    <w:rsid w:val="00F51982"/>
    <w:rsid w:val="00F60E2F"/>
    <w:rsid w:val="00F623A2"/>
    <w:rsid w:val="00F63E6F"/>
    <w:rsid w:val="00F67850"/>
    <w:rsid w:val="00F7056A"/>
    <w:rsid w:val="00F75C4E"/>
    <w:rsid w:val="00F77543"/>
    <w:rsid w:val="00F824EC"/>
    <w:rsid w:val="00F83FA3"/>
    <w:rsid w:val="00F859D5"/>
    <w:rsid w:val="00F862B2"/>
    <w:rsid w:val="00F87996"/>
    <w:rsid w:val="00F91373"/>
    <w:rsid w:val="00F927DD"/>
    <w:rsid w:val="00F97948"/>
    <w:rsid w:val="00FA1535"/>
    <w:rsid w:val="00FA2BF1"/>
    <w:rsid w:val="00FA2C7C"/>
    <w:rsid w:val="00FA2DD2"/>
    <w:rsid w:val="00FA3019"/>
    <w:rsid w:val="00FA425B"/>
    <w:rsid w:val="00FA4321"/>
    <w:rsid w:val="00FA6844"/>
    <w:rsid w:val="00FB1FAC"/>
    <w:rsid w:val="00FB2226"/>
    <w:rsid w:val="00FB2DF1"/>
    <w:rsid w:val="00FB35AE"/>
    <w:rsid w:val="00FB4A20"/>
    <w:rsid w:val="00FB5A99"/>
    <w:rsid w:val="00FB617F"/>
    <w:rsid w:val="00FB678A"/>
    <w:rsid w:val="00FB6BFC"/>
    <w:rsid w:val="00FC4F11"/>
    <w:rsid w:val="00FC53C8"/>
    <w:rsid w:val="00FC5A9D"/>
    <w:rsid w:val="00FC7267"/>
    <w:rsid w:val="00FC7BA8"/>
    <w:rsid w:val="00FD3E1C"/>
    <w:rsid w:val="00FD5B93"/>
    <w:rsid w:val="00FD7808"/>
    <w:rsid w:val="00FE16CB"/>
    <w:rsid w:val="00FE21D3"/>
    <w:rsid w:val="00FE3DAF"/>
    <w:rsid w:val="00FE4819"/>
    <w:rsid w:val="00FE5354"/>
    <w:rsid w:val="00FE6128"/>
    <w:rsid w:val="00FF0054"/>
    <w:rsid w:val="00FF0121"/>
    <w:rsid w:val="00FF06A1"/>
    <w:rsid w:val="00FF079D"/>
    <w:rsid w:val="00FF27E8"/>
    <w:rsid w:val="00FF5996"/>
    <w:rsid w:val="00FF7B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eastAsia="en-US"/>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CharChar42">
    <w:name w:val="Char Char42"/>
    <w:basedOn w:val="DocumentMap"/>
    <w:autoRedefine/>
    <w:rsid w:val="00556DF1"/>
    <w:pPr>
      <w:widowControl w:val="0"/>
      <w:jc w:val="both"/>
    </w:pPr>
    <w:rPr>
      <w:rFonts w:eastAsia="SimSun"/>
      <w:kern w:val="2"/>
      <w:sz w:val="24"/>
      <w:szCs w:val="24"/>
      <w:lang w:val="en-US" w:eastAsia="zh-CN"/>
    </w:rPr>
  </w:style>
  <w:style w:type="paragraph" w:styleId="NormalWeb">
    <w:name w:val="Normal (Web)"/>
    <w:basedOn w:val="Normal"/>
    <w:uiPriority w:val="99"/>
    <w:semiHidden/>
    <w:unhideWhenUsed/>
    <w:rsid w:val="00D2225C"/>
    <w:pPr>
      <w:spacing w:before="100" w:beforeAutospacing="1" w:after="100" w:afterAutospacing="1"/>
    </w:pPr>
    <w:rPr>
      <w:noProof w:val="0"/>
      <w:lang w:eastAsia="vi-VN"/>
    </w:rPr>
  </w:style>
  <w:style w:type="paragraph" w:customStyle="1" w:styleId="CharChar41">
    <w:name w:val="Char Char41"/>
    <w:basedOn w:val="DocumentMap"/>
    <w:autoRedefine/>
    <w:rsid w:val="00EC7266"/>
    <w:pPr>
      <w:widowControl w:val="0"/>
      <w:jc w:val="both"/>
    </w:pPr>
    <w:rPr>
      <w:rFonts w:eastAsia="SimSun"/>
      <w:kern w:val="2"/>
      <w:sz w:val="24"/>
      <w:szCs w:val="24"/>
      <w:lang w:val="en-US" w:eastAsia="zh-CN"/>
    </w:rPr>
  </w:style>
  <w:style w:type="character" w:styleId="CommentReference">
    <w:name w:val="annotation reference"/>
    <w:rsid w:val="00151A66"/>
    <w:rPr>
      <w:sz w:val="16"/>
      <w:szCs w:val="16"/>
    </w:rPr>
  </w:style>
  <w:style w:type="paragraph" w:styleId="CommentText">
    <w:name w:val="annotation text"/>
    <w:basedOn w:val="Normal"/>
    <w:link w:val="CommentTextChar"/>
    <w:rsid w:val="00151A66"/>
    <w:rPr>
      <w:noProof w:val="0"/>
      <w:sz w:val="20"/>
      <w:szCs w:val="20"/>
      <w:lang w:val="en-US"/>
    </w:rPr>
  </w:style>
  <w:style w:type="character" w:customStyle="1" w:styleId="CommentTextChar">
    <w:name w:val="Comment Text Char"/>
    <w:basedOn w:val="DefaultParagraphFont"/>
    <w:link w:val="CommentText"/>
    <w:rsid w:val="00151A66"/>
    <w:rPr>
      <w:lang w:val="en-US" w:eastAsia="en-US"/>
    </w:rPr>
  </w:style>
  <w:style w:type="character" w:customStyle="1" w:styleId="fontstyle01">
    <w:name w:val="fontstyle01"/>
    <w:basedOn w:val="DefaultParagraphFont"/>
    <w:rsid w:val="0024660E"/>
    <w:rPr>
      <w:rFonts w:ascii="TimesNewRomanPSMT" w:hAnsi="TimesNewRomanPSMT"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11439"/>
    <w:pPr>
      <w:spacing w:after="160" w:line="240" w:lineRule="exact"/>
    </w:pPr>
    <w:rPr>
      <w:noProof w:val="0"/>
      <w:sz w:val="20"/>
      <w:szCs w:val="20"/>
      <w:vertAlign w:val="superscript"/>
      <w:lang w:eastAsia="vi-VN"/>
    </w:rPr>
  </w:style>
  <w:style w:type="paragraph" w:customStyle="1" w:styleId="CharChar40">
    <w:name w:val="Char Char4"/>
    <w:basedOn w:val="DocumentMap"/>
    <w:autoRedefine/>
    <w:rsid w:val="006E61F3"/>
    <w:pPr>
      <w:widowControl w:val="0"/>
      <w:jc w:val="both"/>
    </w:pPr>
    <w:rPr>
      <w:rFonts w:eastAsia="SimSun"/>
      <w:kern w:val="2"/>
      <w:sz w:val="24"/>
      <w:szCs w:val="24"/>
      <w:lang w:val="en-US" w:eastAsia="zh-CN"/>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uiPriority w:val="99"/>
    <w:locked/>
    <w:rsid w:val="001931F3"/>
    <w:rPr>
      <w:lang w:val="en-US" w:eastAsia="en-US"/>
    </w:rPr>
  </w:style>
  <w:style w:type="paragraph" w:styleId="Revision">
    <w:name w:val="Revision"/>
    <w:hidden/>
    <w:uiPriority w:val="99"/>
    <w:semiHidden/>
    <w:rsid w:val="000D2942"/>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eastAsia="en-US"/>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CharChar42">
    <w:name w:val="Char Char42"/>
    <w:basedOn w:val="DocumentMap"/>
    <w:autoRedefine/>
    <w:rsid w:val="00556DF1"/>
    <w:pPr>
      <w:widowControl w:val="0"/>
      <w:jc w:val="both"/>
    </w:pPr>
    <w:rPr>
      <w:rFonts w:eastAsia="SimSun"/>
      <w:kern w:val="2"/>
      <w:sz w:val="24"/>
      <w:szCs w:val="24"/>
      <w:lang w:val="en-US" w:eastAsia="zh-CN"/>
    </w:rPr>
  </w:style>
  <w:style w:type="paragraph" w:styleId="NormalWeb">
    <w:name w:val="Normal (Web)"/>
    <w:basedOn w:val="Normal"/>
    <w:uiPriority w:val="99"/>
    <w:semiHidden/>
    <w:unhideWhenUsed/>
    <w:rsid w:val="00D2225C"/>
    <w:pPr>
      <w:spacing w:before="100" w:beforeAutospacing="1" w:after="100" w:afterAutospacing="1"/>
    </w:pPr>
    <w:rPr>
      <w:noProof w:val="0"/>
      <w:lang w:eastAsia="vi-VN"/>
    </w:rPr>
  </w:style>
  <w:style w:type="paragraph" w:customStyle="1" w:styleId="CharChar41">
    <w:name w:val="Char Char41"/>
    <w:basedOn w:val="DocumentMap"/>
    <w:autoRedefine/>
    <w:rsid w:val="00EC7266"/>
    <w:pPr>
      <w:widowControl w:val="0"/>
      <w:jc w:val="both"/>
    </w:pPr>
    <w:rPr>
      <w:rFonts w:eastAsia="SimSun"/>
      <w:kern w:val="2"/>
      <w:sz w:val="24"/>
      <w:szCs w:val="24"/>
      <w:lang w:val="en-US" w:eastAsia="zh-CN"/>
    </w:rPr>
  </w:style>
  <w:style w:type="character" w:styleId="CommentReference">
    <w:name w:val="annotation reference"/>
    <w:rsid w:val="00151A66"/>
    <w:rPr>
      <w:sz w:val="16"/>
      <w:szCs w:val="16"/>
    </w:rPr>
  </w:style>
  <w:style w:type="paragraph" w:styleId="CommentText">
    <w:name w:val="annotation text"/>
    <w:basedOn w:val="Normal"/>
    <w:link w:val="CommentTextChar"/>
    <w:rsid w:val="00151A66"/>
    <w:rPr>
      <w:noProof w:val="0"/>
      <w:sz w:val="20"/>
      <w:szCs w:val="20"/>
      <w:lang w:val="en-US"/>
    </w:rPr>
  </w:style>
  <w:style w:type="character" w:customStyle="1" w:styleId="CommentTextChar">
    <w:name w:val="Comment Text Char"/>
    <w:basedOn w:val="DefaultParagraphFont"/>
    <w:link w:val="CommentText"/>
    <w:rsid w:val="00151A66"/>
    <w:rPr>
      <w:lang w:val="en-US" w:eastAsia="en-US"/>
    </w:rPr>
  </w:style>
  <w:style w:type="character" w:customStyle="1" w:styleId="fontstyle01">
    <w:name w:val="fontstyle01"/>
    <w:basedOn w:val="DefaultParagraphFont"/>
    <w:rsid w:val="0024660E"/>
    <w:rPr>
      <w:rFonts w:ascii="TimesNewRomanPSMT" w:hAnsi="TimesNewRomanPSMT"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11439"/>
    <w:pPr>
      <w:spacing w:after="160" w:line="240" w:lineRule="exact"/>
    </w:pPr>
    <w:rPr>
      <w:noProof w:val="0"/>
      <w:sz w:val="20"/>
      <w:szCs w:val="20"/>
      <w:vertAlign w:val="superscript"/>
      <w:lang w:eastAsia="vi-VN"/>
    </w:rPr>
  </w:style>
  <w:style w:type="paragraph" w:customStyle="1" w:styleId="CharChar40">
    <w:name w:val="Char Char4"/>
    <w:basedOn w:val="DocumentMap"/>
    <w:autoRedefine/>
    <w:rsid w:val="006E61F3"/>
    <w:pPr>
      <w:widowControl w:val="0"/>
      <w:jc w:val="both"/>
    </w:pPr>
    <w:rPr>
      <w:rFonts w:eastAsia="SimSun"/>
      <w:kern w:val="2"/>
      <w:sz w:val="24"/>
      <w:szCs w:val="24"/>
      <w:lang w:val="en-US" w:eastAsia="zh-CN"/>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uiPriority w:val="99"/>
    <w:locked/>
    <w:rsid w:val="001931F3"/>
    <w:rPr>
      <w:lang w:val="en-US" w:eastAsia="en-US"/>
    </w:rPr>
  </w:style>
  <w:style w:type="paragraph" w:styleId="Revision">
    <w:name w:val="Revision"/>
    <w:hidden/>
    <w:uiPriority w:val="99"/>
    <w:semiHidden/>
    <w:rsid w:val="000D2942"/>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546">
      <w:bodyDiv w:val="1"/>
      <w:marLeft w:val="0"/>
      <w:marRight w:val="0"/>
      <w:marTop w:val="0"/>
      <w:marBottom w:val="0"/>
      <w:divBdr>
        <w:top w:val="none" w:sz="0" w:space="0" w:color="auto"/>
        <w:left w:val="none" w:sz="0" w:space="0" w:color="auto"/>
        <w:bottom w:val="none" w:sz="0" w:space="0" w:color="auto"/>
        <w:right w:val="none" w:sz="0" w:space="0" w:color="auto"/>
      </w:divBdr>
    </w:div>
    <w:div w:id="256138601">
      <w:bodyDiv w:val="1"/>
      <w:marLeft w:val="0"/>
      <w:marRight w:val="0"/>
      <w:marTop w:val="0"/>
      <w:marBottom w:val="0"/>
      <w:divBdr>
        <w:top w:val="none" w:sz="0" w:space="0" w:color="auto"/>
        <w:left w:val="none" w:sz="0" w:space="0" w:color="auto"/>
        <w:bottom w:val="none" w:sz="0" w:space="0" w:color="auto"/>
        <w:right w:val="none" w:sz="0" w:space="0" w:color="auto"/>
      </w:divBdr>
    </w:div>
    <w:div w:id="329138835">
      <w:bodyDiv w:val="1"/>
      <w:marLeft w:val="0"/>
      <w:marRight w:val="0"/>
      <w:marTop w:val="0"/>
      <w:marBottom w:val="0"/>
      <w:divBdr>
        <w:top w:val="none" w:sz="0" w:space="0" w:color="auto"/>
        <w:left w:val="none" w:sz="0" w:space="0" w:color="auto"/>
        <w:bottom w:val="none" w:sz="0" w:space="0" w:color="auto"/>
        <w:right w:val="none" w:sz="0" w:space="0" w:color="auto"/>
      </w:divBdr>
    </w:div>
    <w:div w:id="633603657">
      <w:bodyDiv w:val="1"/>
      <w:marLeft w:val="0"/>
      <w:marRight w:val="0"/>
      <w:marTop w:val="0"/>
      <w:marBottom w:val="0"/>
      <w:divBdr>
        <w:top w:val="none" w:sz="0" w:space="0" w:color="auto"/>
        <w:left w:val="none" w:sz="0" w:space="0" w:color="auto"/>
        <w:bottom w:val="none" w:sz="0" w:space="0" w:color="auto"/>
        <w:right w:val="none" w:sz="0" w:space="0" w:color="auto"/>
      </w:divBdr>
    </w:div>
    <w:div w:id="658115730">
      <w:bodyDiv w:val="1"/>
      <w:marLeft w:val="0"/>
      <w:marRight w:val="0"/>
      <w:marTop w:val="0"/>
      <w:marBottom w:val="0"/>
      <w:divBdr>
        <w:top w:val="none" w:sz="0" w:space="0" w:color="auto"/>
        <w:left w:val="none" w:sz="0" w:space="0" w:color="auto"/>
        <w:bottom w:val="none" w:sz="0" w:space="0" w:color="auto"/>
        <w:right w:val="none" w:sz="0" w:space="0" w:color="auto"/>
      </w:divBdr>
    </w:div>
    <w:div w:id="740523734">
      <w:bodyDiv w:val="1"/>
      <w:marLeft w:val="0"/>
      <w:marRight w:val="0"/>
      <w:marTop w:val="0"/>
      <w:marBottom w:val="0"/>
      <w:divBdr>
        <w:top w:val="none" w:sz="0" w:space="0" w:color="auto"/>
        <w:left w:val="none" w:sz="0" w:space="0" w:color="auto"/>
        <w:bottom w:val="none" w:sz="0" w:space="0" w:color="auto"/>
        <w:right w:val="none" w:sz="0" w:space="0" w:color="auto"/>
      </w:divBdr>
    </w:div>
    <w:div w:id="1315910145">
      <w:bodyDiv w:val="1"/>
      <w:marLeft w:val="0"/>
      <w:marRight w:val="0"/>
      <w:marTop w:val="0"/>
      <w:marBottom w:val="0"/>
      <w:divBdr>
        <w:top w:val="none" w:sz="0" w:space="0" w:color="auto"/>
        <w:left w:val="none" w:sz="0" w:space="0" w:color="auto"/>
        <w:bottom w:val="none" w:sz="0" w:space="0" w:color="auto"/>
        <w:right w:val="none" w:sz="0" w:space="0" w:color="auto"/>
      </w:divBdr>
    </w:div>
    <w:div w:id="1565218714">
      <w:bodyDiv w:val="1"/>
      <w:marLeft w:val="0"/>
      <w:marRight w:val="0"/>
      <w:marTop w:val="0"/>
      <w:marBottom w:val="0"/>
      <w:divBdr>
        <w:top w:val="none" w:sz="0" w:space="0" w:color="auto"/>
        <w:left w:val="none" w:sz="0" w:space="0" w:color="auto"/>
        <w:bottom w:val="none" w:sz="0" w:space="0" w:color="auto"/>
        <w:right w:val="none" w:sz="0" w:space="0" w:color="auto"/>
      </w:divBdr>
    </w:div>
    <w:div w:id="1609698500">
      <w:bodyDiv w:val="1"/>
      <w:marLeft w:val="0"/>
      <w:marRight w:val="0"/>
      <w:marTop w:val="0"/>
      <w:marBottom w:val="0"/>
      <w:divBdr>
        <w:top w:val="none" w:sz="0" w:space="0" w:color="auto"/>
        <w:left w:val="none" w:sz="0" w:space="0" w:color="auto"/>
        <w:bottom w:val="none" w:sz="0" w:space="0" w:color="auto"/>
        <w:right w:val="none" w:sz="0" w:space="0" w:color="auto"/>
      </w:divBdr>
    </w:div>
    <w:div w:id="1615625477">
      <w:bodyDiv w:val="1"/>
      <w:marLeft w:val="0"/>
      <w:marRight w:val="0"/>
      <w:marTop w:val="0"/>
      <w:marBottom w:val="0"/>
      <w:divBdr>
        <w:top w:val="none" w:sz="0" w:space="0" w:color="auto"/>
        <w:left w:val="none" w:sz="0" w:space="0" w:color="auto"/>
        <w:bottom w:val="none" w:sz="0" w:space="0" w:color="auto"/>
        <w:right w:val="none" w:sz="0" w:space="0" w:color="auto"/>
      </w:divBdr>
    </w:div>
    <w:div w:id="1880163249">
      <w:bodyDiv w:val="1"/>
      <w:marLeft w:val="0"/>
      <w:marRight w:val="0"/>
      <w:marTop w:val="0"/>
      <w:marBottom w:val="0"/>
      <w:divBdr>
        <w:top w:val="none" w:sz="0" w:space="0" w:color="auto"/>
        <w:left w:val="none" w:sz="0" w:space="0" w:color="auto"/>
        <w:bottom w:val="none" w:sz="0" w:space="0" w:color="auto"/>
        <w:right w:val="none" w:sz="0" w:space="0" w:color="auto"/>
      </w:divBdr>
    </w:div>
    <w:div w:id="1980530285">
      <w:bodyDiv w:val="1"/>
      <w:marLeft w:val="0"/>
      <w:marRight w:val="0"/>
      <w:marTop w:val="0"/>
      <w:marBottom w:val="0"/>
      <w:divBdr>
        <w:top w:val="none" w:sz="0" w:space="0" w:color="auto"/>
        <w:left w:val="none" w:sz="0" w:space="0" w:color="auto"/>
        <w:bottom w:val="none" w:sz="0" w:space="0" w:color="auto"/>
        <w:right w:val="none" w:sz="0" w:space="0" w:color="auto"/>
      </w:divBdr>
    </w:div>
    <w:div w:id="2063745053">
      <w:bodyDiv w:val="1"/>
      <w:marLeft w:val="0"/>
      <w:marRight w:val="0"/>
      <w:marTop w:val="0"/>
      <w:marBottom w:val="0"/>
      <w:divBdr>
        <w:top w:val="none" w:sz="0" w:space="0" w:color="auto"/>
        <w:left w:val="none" w:sz="0" w:space="0" w:color="auto"/>
        <w:bottom w:val="none" w:sz="0" w:space="0" w:color="auto"/>
        <w:right w:val="none" w:sz="0" w:space="0" w:color="auto"/>
      </w:divBdr>
    </w:div>
    <w:div w:id="20664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CE8A-53AB-4B9C-BCB0-1C3BC0CD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1739</Words>
  <Characters>9917</Characters>
  <Application>Microsoft Office Word</Application>
  <DocSecurity>0</DocSecurity>
  <Lines>82</Lines>
  <Paragraphs>23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Admin</cp:lastModifiedBy>
  <cp:revision>1</cp:revision>
  <cp:lastPrinted>2020-11-27T00:57:00Z</cp:lastPrinted>
  <dcterms:created xsi:type="dcterms:W3CDTF">2020-12-04T09:19:00Z</dcterms:created>
  <dcterms:modified xsi:type="dcterms:W3CDTF">2020-12-04T09:19:00Z</dcterms:modified>
</cp:coreProperties>
</file>