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C9" w:rsidRDefault="003E2DC9" w:rsidP="003E2DC9">
      <w:pPr>
        <w:spacing w:after="0" w:line="240" w:lineRule="auto"/>
        <w:jc w:val="center"/>
        <w:rPr>
          <w:b/>
          <w:sz w:val="26"/>
          <w:szCs w:val="26"/>
        </w:rPr>
      </w:pPr>
      <w:r>
        <w:rPr>
          <w:b/>
          <w:sz w:val="26"/>
          <w:szCs w:val="26"/>
        </w:rPr>
        <w:t xml:space="preserve">PHỤ LỤC </w:t>
      </w:r>
      <w:r w:rsidR="00307BE0">
        <w:rPr>
          <w:b/>
          <w:sz w:val="26"/>
          <w:szCs w:val="26"/>
        </w:rPr>
        <w:t>6</w:t>
      </w:r>
    </w:p>
    <w:p w:rsidR="003E2DC9" w:rsidRDefault="003E2DC9" w:rsidP="003E2DC9">
      <w:pPr>
        <w:spacing w:after="0" w:line="240" w:lineRule="auto"/>
        <w:jc w:val="center"/>
        <w:rPr>
          <w:b/>
          <w:sz w:val="26"/>
          <w:szCs w:val="26"/>
        </w:rPr>
      </w:pPr>
      <w:r w:rsidRPr="00DF017C">
        <w:rPr>
          <w:b/>
          <w:sz w:val="26"/>
          <w:szCs w:val="26"/>
        </w:rPr>
        <w:t xml:space="preserve">  Ý KIẾN, KIẾN NGHỊ CỦA CỬ TRI TRƯỚC VÀ SAU KỲ HỌP THỨ </w:t>
      </w:r>
      <w:r>
        <w:rPr>
          <w:b/>
          <w:sz w:val="26"/>
          <w:szCs w:val="26"/>
        </w:rPr>
        <w:t xml:space="preserve">8 </w:t>
      </w:r>
      <w:r w:rsidRPr="00DF017C">
        <w:rPr>
          <w:b/>
          <w:sz w:val="26"/>
          <w:szCs w:val="26"/>
        </w:rPr>
        <w:t>HĐND HUYỆN</w:t>
      </w:r>
      <w:r>
        <w:rPr>
          <w:b/>
          <w:sz w:val="26"/>
          <w:szCs w:val="26"/>
        </w:rPr>
        <w:t xml:space="preserve"> </w:t>
      </w:r>
    </w:p>
    <w:p w:rsidR="003E2DC9" w:rsidRPr="00DF017C" w:rsidRDefault="003E2DC9" w:rsidP="003E2DC9">
      <w:pPr>
        <w:spacing w:after="0" w:line="240" w:lineRule="auto"/>
        <w:jc w:val="center"/>
        <w:rPr>
          <w:b/>
          <w:sz w:val="26"/>
          <w:szCs w:val="26"/>
        </w:rPr>
      </w:pPr>
      <w:r>
        <w:rPr>
          <w:b/>
          <w:sz w:val="26"/>
          <w:szCs w:val="26"/>
        </w:rPr>
        <w:t xml:space="preserve">THUỘC THẨM QUYỀN CẤP HUYỆN </w:t>
      </w:r>
      <w:proofErr w:type="gramStart"/>
      <w:r>
        <w:rPr>
          <w:b/>
          <w:sz w:val="26"/>
          <w:szCs w:val="26"/>
        </w:rPr>
        <w:t>ĐANG  ĐƯỢC</w:t>
      </w:r>
      <w:proofErr w:type="gramEnd"/>
      <w:r>
        <w:rPr>
          <w:b/>
          <w:sz w:val="26"/>
          <w:szCs w:val="26"/>
        </w:rPr>
        <w:t xml:space="preserve"> GIẢI QUYẾT</w:t>
      </w:r>
    </w:p>
    <w:p w:rsidR="00F83998" w:rsidRPr="00B75FAD" w:rsidRDefault="00F83998" w:rsidP="00F83998">
      <w:pPr>
        <w:spacing w:after="0" w:line="240" w:lineRule="auto"/>
        <w:jc w:val="center"/>
        <w:rPr>
          <w:i/>
          <w:sz w:val="26"/>
          <w:szCs w:val="26"/>
        </w:rPr>
      </w:pPr>
      <w:r w:rsidRPr="00B75FAD">
        <w:rPr>
          <w:i/>
          <w:sz w:val="26"/>
          <w:szCs w:val="26"/>
        </w:rPr>
        <w:t xml:space="preserve">(Kèm </w:t>
      </w:r>
      <w:proofErr w:type="gramStart"/>
      <w:r w:rsidRPr="00B75FAD">
        <w:rPr>
          <w:i/>
          <w:sz w:val="26"/>
          <w:szCs w:val="26"/>
        </w:rPr>
        <w:t>theo</w:t>
      </w:r>
      <w:proofErr w:type="gramEnd"/>
      <w:r w:rsidRPr="00B75FAD">
        <w:rPr>
          <w:i/>
          <w:sz w:val="26"/>
          <w:szCs w:val="26"/>
        </w:rPr>
        <w:t xml:space="preserve"> Báo cáo số  </w:t>
      </w:r>
      <w:r w:rsidR="00C855DC" w:rsidRPr="00B75FAD">
        <w:rPr>
          <w:i/>
          <w:sz w:val="26"/>
          <w:szCs w:val="26"/>
        </w:rPr>
        <w:t xml:space="preserve"> </w:t>
      </w:r>
      <w:r w:rsidR="00B75FAD" w:rsidRPr="00B75FAD">
        <w:rPr>
          <w:i/>
          <w:sz w:val="26"/>
          <w:szCs w:val="26"/>
        </w:rPr>
        <w:t xml:space="preserve"> </w:t>
      </w:r>
      <w:r w:rsidR="006E0E23">
        <w:rPr>
          <w:i/>
          <w:sz w:val="26"/>
          <w:szCs w:val="26"/>
        </w:rPr>
        <w:t xml:space="preserve">92   </w:t>
      </w:r>
      <w:r w:rsidR="00490445">
        <w:rPr>
          <w:i/>
          <w:sz w:val="26"/>
          <w:szCs w:val="26"/>
        </w:rPr>
        <w:t xml:space="preserve"> </w:t>
      </w:r>
      <w:r w:rsidRPr="00B75FAD">
        <w:rPr>
          <w:i/>
          <w:sz w:val="26"/>
          <w:szCs w:val="26"/>
        </w:rPr>
        <w:t>/BC-</w:t>
      </w:r>
      <w:r w:rsidR="00C855DC" w:rsidRPr="00B75FAD">
        <w:rPr>
          <w:i/>
          <w:sz w:val="26"/>
          <w:szCs w:val="26"/>
        </w:rPr>
        <w:t xml:space="preserve">TTHĐND </w:t>
      </w:r>
      <w:r w:rsidRPr="00B75FAD">
        <w:rPr>
          <w:i/>
          <w:sz w:val="26"/>
          <w:szCs w:val="26"/>
        </w:rPr>
        <w:t xml:space="preserve">ngày </w:t>
      </w:r>
      <w:r w:rsidR="00F65F91">
        <w:rPr>
          <w:i/>
          <w:sz w:val="26"/>
          <w:szCs w:val="26"/>
        </w:rPr>
        <w:t xml:space="preserve">    </w:t>
      </w:r>
      <w:r w:rsidR="006E0E23">
        <w:rPr>
          <w:i/>
          <w:sz w:val="26"/>
          <w:szCs w:val="26"/>
        </w:rPr>
        <w:t>24</w:t>
      </w:r>
      <w:bookmarkStart w:id="0" w:name="_GoBack"/>
      <w:bookmarkEnd w:id="0"/>
      <w:r w:rsidR="00F65F91">
        <w:rPr>
          <w:i/>
          <w:sz w:val="26"/>
          <w:szCs w:val="26"/>
        </w:rPr>
        <w:t xml:space="preserve"> </w:t>
      </w:r>
      <w:r w:rsidR="00B75FAD" w:rsidRPr="00B75FAD">
        <w:rPr>
          <w:i/>
          <w:sz w:val="26"/>
          <w:szCs w:val="26"/>
        </w:rPr>
        <w:t xml:space="preserve"> </w:t>
      </w:r>
      <w:r w:rsidRPr="00B75FAD">
        <w:rPr>
          <w:i/>
          <w:sz w:val="26"/>
          <w:szCs w:val="26"/>
        </w:rPr>
        <w:t xml:space="preserve">  /  </w:t>
      </w:r>
      <w:r w:rsidR="0078368E">
        <w:rPr>
          <w:i/>
          <w:sz w:val="26"/>
          <w:szCs w:val="26"/>
        </w:rPr>
        <w:t xml:space="preserve"> </w:t>
      </w:r>
      <w:r w:rsidR="00490445">
        <w:rPr>
          <w:i/>
          <w:sz w:val="26"/>
          <w:szCs w:val="26"/>
        </w:rPr>
        <w:t>12</w:t>
      </w:r>
      <w:r w:rsidR="0078368E">
        <w:rPr>
          <w:i/>
          <w:sz w:val="26"/>
          <w:szCs w:val="26"/>
        </w:rPr>
        <w:t xml:space="preserve">  </w:t>
      </w:r>
      <w:r w:rsidRPr="00B75FAD">
        <w:rPr>
          <w:i/>
          <w:sz w:val="26"/>
          <w:szCs w:val="26"/>
        </w:rPr>
        <w:t xml:space="preserve"> /2024 của </w:t>
      </w:r>
      <w:r w:rsidR="00C855DC" w:rsidRPr="00B75FAD">
        <w:rPr>
          <w:i/>
          <w:sz w:val="26"/>
          <w:szCs w:val="26"/>
        </w:rPr>
        <w:t>Thường trực Hội đồng nhân dân</w:t>
      </w:r>
      <w:r w:rsidRPr="00B75FAD">
        <w:rPr>
          <w:i/>
          <w:sz w:val="26"/>
          <w:szCs w:val="26"/>
        </w:rPr>
        <w:t xml:space="preserve"> huyện)</w:t>
      </w:r>
    </w:p>
    <w:p w:rsidR="00F83998" w:rsidRPr="00DF017C" w:rsidRDefault="00F83998" w:rsidP="00F83998">
      <w:pPr>
        <w:spacing w:after="0" w:line="240" w:lineRule="auto"/>
        <w:jc w:val="center"/>
        <w:rPr>
          <w:b/>
          <w:i/>
          <w:sz w:val="26"/>
          <w:szCs w:val="26"/>
        </w:rPr>
      </w:pPr>
      <w:r>
        <w:rPr>
          <w:noProof/>
          <w:sz w:val="26"/>
          <w:szCs w:val="26"/>
          <w:lang w:val="en-US"/>
        </w:rPr>
        <mc:AlternateContent>
          <mc:Choice Requires="wps">
            <w:drawing>
              <wp:anchor distT="4294967294" distB="4294967294" distL="114300" distR="114300" simplePos="0" relativeHeight="251659264" behindDoc="0" locked="0" layoutInCell="1" allowOverlap="1">
                <wp:simplePos x="0" y="0"/>
                <wp:positionH relativeFrom="column">
                  <wp:posOffset>2989580</wp:posOffset>
                </wp:positionH>
                <wp:positionV relativeFrom="paragraph">
                  <wp:posOffset>36194</wp:posOffset>
                </wp:positionV>
                <wp:extent cx="24015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15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5.4pt,2.85pt" to="42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6r2gEAAKQDAAAOAAAAZHJzL2Uyb0RvYy54bWysU01v2zAMvQ/YfxB0X5xka1cYcXpI0F2K&#10;LUC6H8DKsi1MEgVRi51/P0r5WLrdhvkgSKL4yPf4vHqcnBUHHcmgb+RiNpdCe4Wt8X0jv788fXiQ&#10;ghL4Fix63cijJvm4fv9uNYZaL3FA2+ooGMRTPYZGDimFuqpIDdoBzTBoz8EOo4PEx9hXbYSR0Z2t&#10;lvP5fTVibENEpYn4dnsKynXB7zqt0reuI52EbST3lsoay/qa12q9grqPEAajzm3AP3ThwHgueoXa&#10;QgLxM5q/oJxREQm7NFPoKuw6o3ThwGwW8z/Y7AcIunBhcShcZaL/B6u+HnZRmJZnJ4UHxyPapwim&#10;H5LYoPcsIEaxyDqNgWp+vvG7mJmqye/DM6ofxLHqTTAfKJyeTV10+TlTFVPR/XjVXU9JKL5cfpov&#10;7j7zeNQlVkF9SQyR0heNTuRNI63xWRKo4fBMKZeG+vIkX3t8MtaWsVovxkbef7zLyMDm6iwk3rrA&#10;dMn3UoDt2bUqxYJIaE2bszMOHWljozgAG4f91uL4wu1KYYESB5hD+bIw3MGb1NzOFmg4JZfQyWfO&#10;JDa7Na6RD7fZ1ueKutj1TOq3hHn3iu1xFy86sxVK0bNts9duz7y//bnWvwAAAP//AwBQSwMEFAAG&#10;AAgAAAAhAE+muwvcAAAABwEAAA8AAABkcnMvZG93bnJldi54bWxMj81OwzAQhO9IvIO1SNyoDS2k&#10;hDgVKuqBWxuo1KMbb34gXkex04a3Z+ECx9GMZr7JVpPrxAmH0HrScDtTIJBKb1uqNby/bW6WIEI0&#10;ZE3nCTV8YYBVfnmRmdT6M+3wVMRacAmF1GhoYuxTKUPZoDNh5nsk9io/OBNZDrW0gzlzuevknVIP&#10;0pmWeKExPa4bLD+L0WkYt+tKtZv59HGYF3J8Tbb7l6rW+vpqen4CEXGKf2H4wWd0yJnp6EeyQXQa&#10;Foli9KjhPgHB/nLxyN+Ov1rmmfzPn38DAAD//wMAUEsBAi0AFAAGAAgAAAAhALaDOJL+AAAA4QEA&#10;ABMAAAAAAAAAAAAAAAAAAAAAAFtDb250ZW50X1R5cGVzXS54bWxQSwECLQAUAAYACAAAACEAOP0h&#10;/9YAAACUAQAACwAAAAAAAAAAAAAAAAAvAQAAX3JlbHMvLnJlbHNQSwECLQAUAAYACAAAACEAPKSu&#10;q9oBAACkAwAADgAAAAAAAAAAAAAAAAAuAgAAZHJzL2Uyb0RvYy54bWxQSwECLQAUAAYACAAAACEA&#10;T6a7C9wAAAAHAQAADwAAAAAAAAAAAAAAAAA0BAAAZHJzL2Rvd25yZXYueG1sUEsFBgAAAAAEAAQA&#10;8wAAAD0FAAAAAA==&#10;" strokecolor="windowText" strokeweight=".5pt">
                <v:stroke joinstyle="miter"/>
                <o:lock v:ext="edit" shapetype="f"/>
              </v:line>
            </w:pict>
          </mc:Fallback>
        </mc:AlternateContent>
      </w:r>
    </w:p>
    <w:p w:rsidR="00F83998" w:rsidRPr="00DF017C" w:rsidRDefault="00F83998" w:rsidP="00F83998">
      <w:pPr>
        <w:tabs>
          <w:tab w:val="left" w:pos="1327"/>
        </w:tabs>
        <w:rPr>
          <w:sz w:val="26"/>
          <w:szCs w:val="26"/>
        </w:rPr>
      </w:pPr>
      <w:r w:rsidRPr="00DF017C">
        <w:rPr>
          <w:sz w:val="26"/>
          <w:szCs w:val="26"/>
        </w:rPr>
        <w:tab/>
      </w:r>
    </w:p>
    <w:tbl>
      <w:tblPr>
        <w:tblW w:w="152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178"/>
        <w:gridCol w:w="7088"/>
        <w:gridCol w:w="2268"/>
      </w:tblGrid>
      <w:tr w:rsidR="00F83998" w:rsidRPr="00DF017C" w:rsidTr="003E2DC9">
        <w:tc>
          <w:tcPr>
            <w:tcW w:w="747" w:type="dxa"/>
            <w:shd w:val="clear" w:color="auto" w:fill="auto"/>
            <w:vAlign w:val="center"/>
          </w:tcPr>
          <w:p w:rsidR="00F83998" w:rsidRPr="00DF017C" w:rsidRDefault="00F83998" w:rsidP="003E2DC9">
            <w:pPr>
              <w:tabs>
                <w:tab w:val="left" w:pos="1327"/>
              </w:tabs>
              <w:spacing w:after="0" w:line="240" w:lineRule="auto"/>
              <w:jc w:val="center"/>
              <w:rPr>
                <w:b/>
                <w:sz w:val="26"/>
                <w:szCs w:val="26"/>
              </w:rPr>
            </w:pPr>
            <w:r w:rsidRPr="00DF017C">
              <w:rPr>
                <w:b/>
                <w:sz w:val="26"/>
                <w:szCs w:val="26"/>
              </w:rPr>
              <w:t>STT</w:t>
            </w:r>
          </w:p>
        </w:tc>
        <w:tc>
          <w:tcPr>
            <w:tcW w:w="5178" w:type="dxa"/>
            <w:shd w:val="clear" w:color="auto" w:fill="auto"/>
            <w:vAlign w:val="center"/>
          </w:tcPr>
          <w:p w:rsidR="003E2DC9" w:rsidRDefault="003E2DC9" w:rsidP="003E2DC9">
            <w:pPr>
              <w:tabs>
                <w:tab w:val="left" w:pos="1327"/>
              </w:tabs>
              <w:spacing w:after="0" w:line="240" w:lineRule="auto"/>
              <w:jc w:val="center"/>
              <w:rPr>
                <w:b/>
                <w:sz w:val="26"/>
                <w:szCs w:val="26"/>
              </w:rPr>
            </w:pPr>
          </w:p>
          <w:p w:rsidR="00F83998" w:rsidRPr="00DF017C" w:rsidRDefault="00F83998" w:rsidP="003E2DC9">
            <w:pPr>
              <w:tabs>
                <w:tab w:val="left" w:pos="1327"/>
              </w:tabs>
              <w:spacing w:after="0" w:line="240" w:lineRule="auto"/>
              <w:jc w:val="center"/>
              <w:rPr>
                <w:b/>
                <w:sz w:val="26"/>
                <w:szCs w:val="26"/>
              </w:rPr>
            </w:pPr>
            <w:r w:rsidRPr="00DF017C">
              <w:rPr>
                <w:b/>
                <w:sz w:val="26"/>
                <w:szCs w:val="26"/>
              </w:rPr>
              <w:t>Nội dung ý kiến</w:t>
            </w:r>
          </w:p>
          <w:p w:rsidR="00F83998" w:rsidRPr="00DF017C" w:rsidRDefault="00F83998" w:rsidP="003E2DC9">
            <w:pPr>
              <w:tabs>
                <w:tab w:val="left" w:pos="1327"/>
              </w:tabs>
              <w:spacing w:after="0" w:line="240" w:lineRule="auto"/>
              <w:jc w:val="center"/>
              <w:rPr>
                <w:b/>
                <w:sz w:val="26"/>
                <w:szCs w:val="26"/>
              </w:rPr>
            </w:pPr>
          </w:p>
        </w:tc>
        <w:tc>
          <w:tcPr>
            <w:tcW w:w="7088" w:type="dxa"/>
            <w:shd w:val="clear" w:color="auto" w:fill="auto"/>
            <w:vAlign w:val="center"/>
          </w:tcPr>
          <w:p w:rsidR="00F83998" w:rsidRPr="00DF017C" w:rsidRDefault="00F83998" w:rsidP="003E2DC9">
            <w:pPr>
              <w:tabs>
                <w:tab w:val="left" w:pos="1327"/>
              </w:tabs>
              <w:spacing w:after="0" w:line="240" w:lineRule="auto"/>
              <w:jc w:val="center"/>
              <w:rPr>
                <w:b/>
                <w:sz w:val="26"/>
                <w:szCs w:val="26"/>
              </w:rPr>
            </w:pPr>
            <w:r w:rsidRPr="00DF017C">
              <w:rPr>
                <w:b/>
                <w:sz w:val="26"/>
                <w:szCs w:val="26"/>
              </w:rPr>
              <w:t>Trả lời</w:t>
            </w:r>
          </w:p>
        </w:tc>
        <w:tc>
          <w:tcPr>
            <w:tcW w:w="2268" w:type="dxa"/>
            <w:vAlign w:val="center"/>
          </w:tcPr>
          <w:p w:rsidR="00F83998" w:rsidRPr="00DF017C" w:rsidRDefault="00F83998" w:rsidP="003E2DC9">
            <w:pPr>
              <w:tabs>
                <w:tab w:val="left" w:pos="1327"/>
              </w:tabs>
              <w:spacing w:after="0" w:line="240" w:lineRule="auto"/>
              <w:jc w:val="center"/>
              <w:rPr>
                <w:b/>
                <w:sz w:val="26"/>
                <w:szCs w:val="26"/>
              </w:rPr>
            </w:pPr>
            <w:r w:rsidRPr="00DF017C">
              <w:rPr>
                <w:b/>
                <w:sz w:val="26"/>
                <w:szCs w:val="26"/>
              </w:rPr>
              <w:t>Kết quả giải quyết</w:t>
            </w:r>
          </w:p>
        </w:tc>
      </w:tr>
      <w:tr w:rsidR="00F83998" w:rsidRPr="00DF017C" w:rsidTr="00332432">
        <w:tc>
          <w:tcPr>
            <w:tcW w:w="13013" w:type="dxa"/>
            <w:gridSpan w:val="3"/>
            <w:shd w:val="clear" w:color="auto" w:fill="auto"/>
          </w:tcPr>
          <w:p w:rsidR="00F83998" w:rsidRPr="00DF017C" w:rsidRDefault="00F83998" w:rsidP="00332432">
            <w:pPr>
              <w:tabs>
                <w:tab w:val="left" w:pos="1327"/>
              </w:tabs>
              <w:spacing w:after="0" w:line="240" w:lineRule="auto"/>
              <w:jc w:val="center"/>
              <w:rPr>
                <w:b/>
                <w:sz w:val="26"/>
                <w:szCs w:val="26"/>
              </w:rPr>
            </w:pPr>
            <w:r w:rsidRPr="00DF017C">
              <w:rPr>
                <w:b/>
                <w:sz w:val="26"/>
                <w:szCs w:val="26"/>
              </w:rPr>
              <w:t xml:space="preserve">I. TRƯỚC KỲ HỌP THỨ </w:t>
            </w:r>
            <w:r>
              <w:rPr>
                <w:b/>
                <w:sz w:val="26"/>
                <w:szCs w:val="26"/>
              </w:rPr>
              <w:t>8</w:t>
            </w:r>
          </w:p>
        </w:tc>
        <w:tc>
          <w:tcPr>
            <w:tcW w:w="2268" w:type="dxa"/>
          </w:tcPr>
          <w:p w:rsidR="00F83998" w:rsidRPr="00DF017C" w:rsidRDefault="00F83998" w:rsidP="00332432">
            <w:pPr>
              <w:tabs>
                <w:tab w:val="left" w:pos="1327"/>
              </w:tabs>
              <w:spacing w:after="0" w:line="240" w:lineRule="auto"/>
              <w:jc w:val="center"/>
              <w:rPr>
                <w:b/>
                <w:sz w:val="26"/>
                <w:szCs w:val="26"/>
              </w:rPr>
            </w:pPr>
          </w:p>
        </w:tc>
      </w:tr>
      <w:tr w:rsidR="00F83998" w:rsidRPr="00DF017C" w:rsidTr="00B75FAD">
        <w:tc>
          <w:tcPr>
            <w:tcW w:w="747" w:type="dxa"/>
            <w:shd w:val="clear" w:color="auto" w:fill="auto"/>
            <w:vAlign w:val="center"/>
          </w:tcPr>
          <w:p w:rsidR="00F83998" w:rsidRPr="00DF017C" w:rsidRDefault="00C65B95" w:rsidP="00332432">
            <w:pPr>
              <w:tabs>
                <w:tab w:val="left" w:pos="1327"/>
              </w:tabs>
              <w:spacing w:after="0" w:line="240" w:lineRule="auto"/>
              <w:jc w:val="center"/>
              <w:rPr>
                <w:sz w:val="26"/>
                <w:szCs w:val="26"/>
              </w:rPr>
            </w:pPr>
            <w:r>
              <w:rPr>
                <w:sz w:val="26"/>
                <w:szCs w:val="26"/>
              </w:rPr>
              <w:t>1</w:t>
            </w:r>
          </w:p>
        </w:tc>
        <w:tc>
          <w:tcPr>
            <w:tcW w:w="5178" w:type="dxa"/>
            <w:shd w:val="clear" w:color="auto" w:fill="auto"/>
            <w:vAlign w:val="center"/>
          </w:tcPr>
          <w:p w:rsidR="00F83998" w:rsidRPr="00EB307E" w:rsidRDefault="00F83998" w:rsidP="00B75FAD">
            <w:pPr>
              <w:spacing w:before="120" w:after="120" w:line="240" w:lineRule="auto"/>
              <w:ind w:firstLine="567"/>
              <w:jc w:val="both"/>
              <w:rPr>
                <w:rFonts w:eastAsia="Times New Roman"/>
                <w:bCs/>
                <w:szCs w:val="28"/>
                <w:lang w:val="vi-VN"/>
              </w:rPr>
            </w:pPr>
            <w:r w:rsidRPr="00EB307E">
              <w:rPr>
                <w:rFonts w:eastAsia="Times New Roman"/>
                <w:bCs/>
                <w:szCs w:val="28"/>
                <w:lang w:val="en-US"/>
              </w:rPr>
              <w:t xml:space="preserve">Cử tri Y Xen, A Đris, Đoàn Thị Huệ,  Lê Thanh Hương – thị trấn Đăk Tô: Công tác đo đạc, kiểm đếm đất đai, cây cối, hoa màu để giải phóng mặt bằng đầu tư dự án đầu tư </w:t>
            </w:r>
            <w:r w:rsidRPr="00EB307E">
              <w:rPr>
                <w:rFonts w:eastAsia="Times New Roman"/>
                <w:bCs/>
                <w:color w:val="000000"/>
                <w:szCs w:val="28"/>
                <w:u w:color="FF0000"/>
                <w:lang w:val="en-US"/>
              </w:rPr>
              <w:t>kè sông</w:t>
            </w:r>
            <w:r w:rsidRPr="00EB307E">
              <w:rPr>
                <w:rFonts w:eastAsia="Times New Roman"/>
                <w:bCs/>
                <w:szCs w:val="28"/>
                <w:lang w:val="en-US"/>
              </w:rPr>
              <w:t xml:space="preserve"> Đăk Tờ Kan đoạn qua khối 1 hiện đã hoàn thành. Tuy nhiên đến nay đơn vị chủ đầu tư chưa thông báo cho </w:t>
            </w:r>
            <w:r w:rsidRPr="00EB307E">
              <w:rPr>
                <w:rFonts w:eastAsia="Times New Roman"/>
                <w:bCs/>
                <w:szCs w:val="28"/>
                <w:lang w:val="vi-VN"/>
              </w:rPr>
              <w:t>N</w:t>
            </w:r>
            <w:r w:rsidRPr="00EB307E">
              <w:rPr>
                <w:rFonts w:eastAsia="Times New Roman"/>
                <w:bCs/>
                <w:szCs w:val="28"/>
                <w:lang w:val="en-US"/>
              </w:rPr>
              <w:t>hân dân biết khi nào thực hiện đền bù, hỗ trợ, giải phóng mặt bằng và đơn giá đền bù, hỗ trợ như thế nào. Đề nghị đơn vị chủ đầu tư có văn bản thông báo cho nhân dân về thời gian thực hiện và mức giá đền bù, hỗ trợ</w:t>
            </w:r>
          </w:p>
          <w:p w:rsidR="00F83998" w:rsidRPr="00EB307E" w:rsidRDefault="00F83998" w:rsidP="00B75FAD">
            <w:pPr>
              <w:spacing w:before="120" w:after="120" w:line="240" w:lineRule="auto"/>
              <w:jc w:val="both"/>
              <w:rPr>
                <w:rFonts w:eastAsia="Times New Roman"/>
                <w:bCs/>
                <w:sz w:val="26"/>
                <w:szCs w:val="26"/>
                <w:lang w:val="nl-NL"/>
              </w:rPr>
            </w:pPr>
          </w:p>
        </w:tc>
        <w:tc>
          <w:tcPr>
            <w:tcW w:w="7088" w:type="dxa"/>
            <w:shd w:val="clear" w:color="auto" w:fill="auto"/>
          </w:tcPr>
          <w:p w:rsidR="00F83998" w:rsidRPr="00F64A88" w:rsidRDefault="00F83998" w:rsidP="00332432">
            <w:pPr>
              <w:spacing w:before="120" w:after="120" w:line="240" w:lineRule="auto"/>
              <w:ind w:firstLine="567"/>
              <w:jc w:val="both"/>
              <w:rPr>
                <w:rFonts w:eastAsia="Times New Roman"/>
                <w:color w:val="000000"/>
                <w:szCs w:val="28"/>
                <w:lang w:val="en-US"/>
              </w:rPr>
            </w:pPr>
            <w:r w:rsidRPr="00317FC6">
              <w:rPr>
                <w:rFonts w:eastAsia="Times New Roman"/>
                <w:color w:val="000000"/>
                <w:szCs w:val="28"/>
                <w:lang w:val="en-US"/>
              </w:rPr>
              <w:t xml:space="preserve">Ban Quản lý dự </w:t>
            </w:r>
            <w:proofErr w:type="gramStart"/>
            <w:r w:rsidRPr="00317FC6">
              <w:rPr>
                <w:rFonts w:eastAsia="Times New Roman"/>
                <w:color w:val="000000"/>
                <w:szCs w:val="28"/>
                <w:lang w:val="en-US"/>
              </w:rPr>
              <w:t>án</w:t>
            </w:r>
            <w:proofErr w:type="gramEnd"/>
            <w:r w:rsidRPr="00317FC6">
              <w:rPr>
                <w:rFonts w:eastAsia="Times New Roman"/>
                <w:color w:val="000000"/>
                <w:szCs w:val="28"/>
                <w:lang w:val="en-US"/>
              </w:rPr>
              <w:t xml:space="preserve"> đầu tư xây dựng </w:t>
            </w:r>
            <w:r w:rsidRPr="00317FC6">
              <w:rPr>
                <w:rFonts w:eastAsia="Times New Roman"/>
                <w:color w:val="000000"/>
                <w:szCs w:val="28"/>
                <w:lang w:val="vi-VN"/>
              </w:rPr>
              <w:t>đang triển khai thực hiện công tác bồi thường giải phóng mặt bằng (đợt 2) đối với dự án</w:t>
            </w:r>
            <w:r w:rsidRPr="00317FC6">
              <w:rPr>
                <w:rFonts w:eastAsia="Times New Roman"/>
                <w:color w:val="000000"/>
                <w:szCs w:val="28"/>
                <w:lang w:val="en-US"/>
              </w:rPr>
              <w:t xml:space="preserve"> Kè chống sạt lở sông Đăk Tờ Kan (đoạn cầu 42), huyện Đăk Tô. Đến nay, công tác đo đạc, kiểm kê về đất và tài sản có trên đất thuộc phạm vi giải phóng mặt bằng của 82 hộ gia đình, cá nhân tại khối 1 và khối 7, </w:t>
            </w:r>
            <w:proofErr w:type="gramStart"/>
            <w:r w:rsidRPr="00317FC6">
              <w:rPr>
                <w:rFonts w:eastAsia="Times New Roman"/>
                <w:color w:val="000000"/>
                <w:szCs w:val="28"/>
                <w:lang w:val="en-US"/>
              </w:rPr>
              <w:t>thị</w:t>
            </w:r>
            <w:proofErr w:type="gramEnd"/>
            <w:r w:rsidRPr="00317FC6">
              <w:rPr>
                <w:rFonts w:eastAsia="Times New Roman"/>
                <w:color w:val="000000"/>
                <w:szCs w:val="28"/>
                <w:lang w:val="en-US"/>
              </w:rPr>
              <w:t xml:space="preserve"> trấn Đăk Tô đã hoàn thành. Hiện tại, Ban Quản lý dự án đầu tư xây dựng đang phối hợp với các đơn vị liên quan để triển khai thực hiện các nội về công tác bồi thường, hỗ trợ, cụ thể: Tổ chức xác minh nguồn gốc và thời điểm sử dụng đất của các hộ gia đình, cá nhân để làm cơ sở bồi thường, hỗ trợ. Tổ chức xác định giá đất cụ thể để tính tiền bồi thường về đất.</w:t>
            </w:r>
            <w:r w:rsidRPr="00317FC6">
              <w:rPr>
                <w:rFonts w:eastAsia="Times New Roman"/>
                <w:color w:val="000000"/>
                <w:szCs w:val="28"/>
                <w:lang w:val="vi-VN"/>
              </w:rPr>
              <w:t xml:space="preserve"> </w:t>
            </w:r>
            <w:r w:rsidRPr="00317FC6">
              <w:rPr>
                <w:rFonts w:eastAsia="Times New Roman"/>
                <w:color w:val="000000"/>
                <w:szCs w:val="28"/>
                <w:lang w:val="en-US"/>
              </w:rPr>
              <w:t xml:space="preserve">Do vậy, chưa có cơ sở để </w:t>
            </w:r>
            <w:r w:rsidRPr="00317FC6">
              <w:rPr>
                <w:rFonts w:eastAsia="Times New Roman"/>
                <w:color w:val="000000"/>
                <w:szCs w:val="28"/>
                <w:u w:color="FF0000"/>
                <w:lang w:val="en-US"/>
              </w:rPr>
              <w:t>lập dự</w:t>
            </w:r>
            <w:r w:rsidRPr="00317FC6">
              <w:rPr>
                <w:rFonts w:eastAsia="Times New Roman"/>
                <w:color w:val="000000"/>
                <w:szCs w:val="28"/>
                <w:lang w:val="en-US"/>
              </w:rPr>
              <w:t xml:space="preserve"> thảo phương án bồi thường, hỗ trợ và tổ chức thông báo, niêm yết công khai để lấy ý kiến của các hộ gia đình, cá nhân theo quy định. Sau khi giá đất cụ thể để tính tiền bồi thường bồi thường của công trình được cấp có thẩm quyền phê duyệt, </w:t>
            </w:r>
            <w:r w:rsidRPr="00317FC6">
              <w:rPr>
                <w:rFonts w:eastAsia="Times New Roman"/>
                <w:color w:val="000000"/>
                <w:szCs w:val="28"/>
                <w:lang w:val="vi-VN"/>
              </w:rPr>
              <w:t xml:space="preserve">kết quả xác minh nguồn gốc </w:t>
            </w:r>
            <w:r w:rsidRPr="00317FC6">
              <w:rPr>
                <w:rFonts w:eastAsia="Times New Roman"/>
                <w:color w:val="000000"/>
                <w:szCs w:val="28"/>
                <w:lang w:val="vi-VN"/>
              </w:rPr>
              <w:lastRenderedPageBreak/>
              <w:t xml:space="preserve">sử dụng đất sẽ lập Phương </w:t>
            </w:r>
            <w:proofErr w:type="gramStart"/>
            <w:r w:rsidRPr="00317FC6">
              <w:rPr>
                <w:rFonts w:eastAsia="Times New Roman"/>
                <w:color w:val="000000"/>
                <w:szCs w:val="28"/>
                <w:lang w:val="vi-VN"/>
              </w:rPr>
              <w:t>án</w:t>
            </w:r>
            <w:proofErr w:type="gramEnd"/>
            <w:r w:rsidRPr="00317FC6">
              <w:rPr>
                <w:rFonts w:eastAsia="Times New Roman"/>
                <w:color w:val="000000"/>
                <w:szCs w:val="28"/>
                <w:lang w:val="vi-VN"/>
              </w:rPr>
              <w:t xml:space="preserve"> bồi thường,</w:t>
            </w:r>
            <w:r w:rsidRPr="00317FC6">
              <w:rPr>
                <w:rFonts w:eastAsia="Times New Roman"/>
                <w:color w:val="000000"/>
                <w:szCs w:val="28"/>
                <w:lang w:val="en-US"/>
              </w:rPr>
              <w:t xml:space="preserve"> tổ chức thông báo, niêm yết công khai để lấy ý kiến </w:t>
            </w:r>
            <w:r w:rsidRPr="00317FC6">
              <w:rPr>
                <w:rFonts w:eastAsia="Times New Roman"/>
                <w:color w:val="000000"/>
                <w:szCs w:val="28"/>
                <w:u w:color="FF0000"/>
                <w:lang w:val="en-US"/>
              </w:rPr>
              <w:t>của các</w:t>
            </w:r>
            <w:r w:rsidRPr="00317FC6">
              <w:rPr>
                <w:rFonts w:eastAsia="Times New Roman"/>
                <w:color w:val="000000"/>
                <w:szCs w:val="28"/>
                <w:lang w:val="en-US"/>
              </w:rPr>
              <w:t xml:space="preserve"> hộ gia đình, cá nhân. Thời gian tổ chức lấy ý kiến </w:t>
            </w:r>
            <w:proofErr w:type="gramStart"/>
            <w:r w:rsidRPr="00317FC6">
              <w:rPr>
                <w:rFonts w:eastAsia="Times New Roman"/>
                <w:color w:val="000000"/>
                <w:szCs w:val="28"/>
                <w:lang w:val="en-US"/>
              </w:rPr>
              <w:t xml:space="preserve">và  </w:t>
            </w:r>
            <w:r w:rsidRPr="00317FC6">
              <w:rPr>
                <w:rFonts w:eastAsia="Times New Roman"/>
                <w:color w:val="000000"/>
                <w:szCs w:val="28"/>
                <w:u w:color="FF0000"/>
                <w:lang w:val="en-US"/>
              </w:rPr>
              <w:t>niêm</w:t>
            </w:r>
            <w:proofErr w:type="gramEnd"/>
            <w:r w:rsidRPr="00317FC6">
              <w:rPr>
                <w:rFonts w:eastAsia="Times New Roman"/>
                <w:color w:val="000000"/>
                <w:szCs w:val="28"/>
                <w:u w:color="FF0000"/>
                <w:lang w:val="en-US"/>
              </w:rPr>
              <w:t xml:space="preserve">  yết công</w:t>
            </w:r>
            <w:r w:rsidRPr="00317FC6">
              <w:rPr>
                <w:rFonts w:eastAsia="Times New Roman"/>
                <w:color w:val="000000"/>
                <w:szCs w:val="28"/>
                <w:lang w:val="en-US"/>
              </w:rPr>
              <w:t xml:space="preserve"> khai phương án bồi thường, hỗ trợ</w:t>
            </w:r>
            <w:r w:rsidRPr="00317FC6">
              <w:rPr>
                <w:rFonts w:eastAsia="Times New Roman"/>
                <w:color w:val="000000"/>
                <w:szCs w:val="28"/>
                <w:lang w:val="vi-VN"/>
              </w:rPr>
              <w:t xml:space="preserve"> d</w:t>
            </w:r>
            <w:r w:rsidRPr="00317FC6">
              <w:rPr>
                <w:rFonts w:eastAsia="Times New Roman"/>
                <w:color w:val="000000"/>
                <w:szCs w:val="28"/>
                <w:lang w:val="en-US"/>
              </w:rPr>
              <w:t xml:space="preserve">ự kiến </w:t>
            </w:r>
            <w:r>
              <w:rPr>
                <w:rFonts w:eastAsia="Times New Roman"/>
                <w:color w:val="000000"/>
                <w:szCs w:val="28"/>
                <w:lang w:val="en-US"/>
              </w:rPr>
              <w:t>hoàn thành trong</w:t>
            </w:r>
            <w:r w:rsidRPr="00317FC6">
              <w:rPr>
                <w:rFonts w:eastAsia="Times New Roman"/>
                <w:color w:val="000000"/>
                <w:szCs w:val="28"/>
                <w:lang w:val="en-US"/>
              </w:rPr>
              <w:t xml:space="preserve"> năm 2024.</w:t>
            </w:r>
          </w:p>
        </w:tc>
        <w:tc>
          <w:tcPr>
            <w:tcW w:w="2268" w:type="dxa"/>
            <w:vAlign w:val="center"/>
          </w:tcPr>
          <w:p w:rsidR="00F83998" w:rsidRPr="00DF017C" w:rsidRDefault="00F83998" w:rsidP="00B75FAD">
            <w:pPr>
              <w:tabs>
                <w:tab w:val="left" w:pos="1327"/>
              </w:tabs>
              <w:spacing w:after="0" w:line="240" w:lineRule="auto"/>
              <w:jc w:val="center"/>
              <w:rPr>
                <w:sz w:val="26"/>
                <w:szCs w:val="26"/>
              </w:rPr>
            </w:pPr>
            <w:r>
              <w:rPr>
                <w:sz w:val="26"/>
                <w:szCs w:val="26"/>
              </w:rPr>
              <w:lastRenderedPageBreak/>
              <w:t>Đang giải quyết</w:t>
            </w:r>
          </w:p>
        </w:tc>
      </w:tr>
    </w:tbl>
    <w:p w:rsidR="00F83998" w:rsidRPr="006432DF" w:rsidRDefault="00F83998" w:rsidP="00F83998">
      <w:pPr>
        <w:tabs>
          <w:tab w:val="left" w:pos="1327"/>
        </w:tabs>
        <w:jc w:val="both"/>
        <w:rPr>
          <w:sz w:val="26"/>
          <w:szCs w:val="26"/>
        </w:rPr>
      </w:pPr>
    </w:p>
    <w:p w:rsidR="00F83998" w:rsidRPr="006432DF" w:rsidRDefault="00F83998" w:rsidP="00F83998">
      <w:pPr>
        <w:jc w:val="both"/>
        <w:rPr>
          <w:sz w:val="26"/>
          <w:szCs w:val="26"/>
        </w:rPr>
      </w:pPr>
    </w:p>
    <w:p w:rsidR="00770B8E" w:rsidRDefault="00770B8E"/>
    <w:sectPr w:rsidR="00770B8E" w:rsidSect="004D27A7">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98"/>
    <w:rsid w:val="002073FA"/>
    <w:rsid w:val="00307BE0"/>
    <w:rsid w:val="003E2DC9"/>
    <w:rsid w:val="00490445"/>
    <w:rsid w:val="006E0E23"/>
    <w:rsid w:val="00770B8E"/>
    <w:rsid w:val="0078368E"/>
    <w:rsid w:val="00B75FAD"/>
    <w:rsid w:val="00C65B95"/>
    <w:rsid w:val="00C855DC"/>
    <w:rsid w:val="00F65F91"/>
    <w:rsid w:val="00F8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98"/>
    <w:pPr>
      <w:spacing w:after="160" w:line="259" w:lineRule="auto"/>
    </w:pPr>
    <w:rPr>
      <w:rFonts w:ascii="Times New Roman" w:eastAsia="Calibri" w:hAnsi="Times New Roman" w:cs="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98"/>
    <w:pPr>
      <w:spacing w:after="160" w:line="259" w:lineRule="auto"/>
    </w:pPr>
    <w:rPr>
      <w:rFonts w:ascii="Times New Roman" w:eastAsia="Calibri" w:hAnsi="Times New Roman" w:cs="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5</cp:revision>
  <dcterms:created xsi:type="dcterms:W3CDTF">2024-12-23T08:01:00Z</dcterms:created>
  <dcterms:modified xsi:type="dcterms:W3CDTF">2024-12-24T08:35:00Z</dcterms:modified>
</cp:coreProperties>
</file>