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FAF1C" w14:textId="77777777" w:rsidR="006F07B6" w:rsidRPr="00F22575" w:rsidRDefault="00701BBD" w:rsidP="00701BBD">
      <w:pPr>
        <w:pStyle w:val="BodyText"/>
        <w:spacing w:after="120"/>
        <w:ind w:firstLine="590"/>
        <w:jc w:val="center"/>
        <w:rPr>
          <w:b/>
          <w:lang w:val="pt-BR"/>
        </w:rPr>
      </w:pPr>
      <w:r w:rsidRPr="00F22575">
        <w:rPr>
          <w:b/>
          <w:lang w:val="pt-BR"/>
        </w:rPr>
        <w:t>TRẢ LỜI CHẤT VẤN</w:t>
      </w:r>
      <w:r w:rsidR="006F07B6" w:rsidRPr="00F22575">
        <w:rPr>
          <w:b/>
          <w:lang w:val="pt-BR"/>
        </w:rPr>
        <w:t xml:space="preserve"> HĐND TỈNH</w:t>
      </w:r>
    </w:p>
    <w:p w14:paraId="086F811A" w14:textId="14268141" w:rsidR="00701BBD" w:rsidRDefault="006F07B6" w:rsidP="00701BBD">
      <w:pPr>
        <w:pStyle w:val="BodyText"/>
        <w:spacing w:after="120"/>
        <w:ind w:firstLine="590"/>
        <w:jc w:val="center"/>
        <w:rPr>
          <w:b/>
          <w:lang w:val="pt-BR"/>
        </w:rPr>
      </w:pPr>
      <w:r w:rsidRPr="00F22575">
        <w:rPr>
          <w:b/>
          <w:lang w:val="pt-BR"/>
        </w:rPr>
        <w:t xml:space="preserve"> KỲ HỌP THỨ 7</w:t>
      </w:r>
    </w:p>
    <w:p w14:paraId="24395163" w14:textId="0AFBFCD7" w:rsidR="00272DEB" w:rsidRPr="00F22575" w:rsidRDefault="00272DEB" w:rsidP="00701BBD">
      <w:pPr>
        <w:pStyle w:val="BodyText"/>
        <w:spacing w:after="120"/>
        <w:ind w:firstLine="590"/>
        <w:jc w:val="center"/>
        <w:rPr>
          <w:b/>
          <w:lang w:val="pt-BR"/>
        </w:rPr>
      </w:pPr>
      <w:r>
        <w:rPr>
          <w:b/>
          <w:noProof/>
          <w14:ligatures w14:val="standardContextual"/>
        </w:rPr>
        <mc:AlternateContent>
          <mc:Choice Requires="wps">
            <w:drawing>
              <wp:anchor distT="0" distB="0" distL="114300" distR="114300" simplePos="0" relativeHeight="251659264" behindDoc="0" locked="0" layoutInCell="1" allowOverlap="1" wp14:anchorId="001F6A06" wp14:editId="3F8B65C3">
                <wp:simplePos x="0" y="0"/>
                <wp:positionH relativeFrom="column">
                  <wp:posOffset>2757574</wp:posOffset>
                </wp:positionH>
                <wp:positionV relativeFrom="paragraph">
                  <wp:posOffset>235643</wp:posOffset>
                </wp:positionV>
                <wp:extent cx="810491"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8104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BEA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15pt,18.55pt" to="280.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" strokecolor="#4472c4 [3204]" strokeweight=".5pt">
                <v:stroke joinstyle="miter"/>
              </v:line>
            </w:pict>
          </mc:Fallback>
        </mc:AlternateContent>
      </w:r>
      <w:r>
        <w:rPr>
          <w:b/>
          <w:lang w:val="pt-BR"/>
        </w:rPr>
        <w:t>(Kèm theo Công văn số 2687/STC-QLNS)</w:t>
      </w:r>
    </w:p>
    <w:p w14:paraId="3F6FC0C0" w14:textId="77777777" w:rsidR="00272DEB" w:rsidRDefault="00272DEB" w:rsidP="00940FB6">
      <w:pPr>
        <w:pStyle w:val="BodyText"/>
        <w:spacing w:after="120"/>
        <w:ind w:firstLine="709"/>
        <w:rPr>
          <w:b/>
          <w:lang w:val="pt-BR"/>
        </w:rPr>
      </w:pPr>
      <w:bookmarkStart w:id="0" w:name="_GoBack"/>
      <w:bookmarkEnd w:id="0"/>
    </w:p>
    <w:p w14:paraId="48AEF67A" w14:textId="03506CEF" w:rsidR="00701BBD" w:rsidRPr="00F22575" w:rsidRDefault="00701BBD" w:rsidP="00940FB6">
      <w:pPr>
        <w:pStyle w:val="BodyText"/>
        <w:spacing w:after="120"/>
        <w:ind w:firstLine="709"/>
        <w:rPr>
          <w:b/>
          <w:lang w:val="pt-BR"/>
        </w:rPr>
      </w:pPr>
      <w:r w:rsidRPr="00F22575">
        <w:rPr>
          <w:b/>
          <w:lang w:val="pt-BR"/>
        </w:rPr>
        <w:t>1. Câu hỏi</w:t>
      </w:r>
      <w:r w:rsidR="006F07B6" w:rsidRPr="00F22575">
        <w:rPr>
          <w:b/>
          <w:lang w:val="pt-BR"/>
        </w:rPr>
        <w:t xml:space="preserve"> (chất vấn GĐ Sở Tài chính)</w:t>
      </w:r>
      <w:r w:rsidRPr="00F22575">
        <w:rPr>
          <w:b/>
          <w:lang w:val="pt-BR"/>
        </w:rPr>
        <w:t>:</w:t>
      </w:r>
    </w:p>
    <w:p w14:paraId="5BFF13A7" w14:textId="77777777" w:rsidR="00A6179E" w:rsidRPr="00F22575" w:rsidRDefault="00701BBD" w:rsidP="00940FB6">
      <w:pPr>
        <w:pStyle w:val="BodyText"/>
        <w:spacing w:after="120"/>
        <w:ind w:firstLine="709"/>
        <w:rPr>
          <w:bCs/>
          <w:lang w:val="pt-BR"/>
        </w:rPr>
      </w:pPr>
      <w:r w:rsidRPr="00F22575">
        <w:rPr>
          <w:bCs/>
          <w:lang w:val="pt-BR"/>
        </w:rPr>
        <w:t>Theo báo cáo của Ủy ban nhân dân tỉnh</w:t>
      </w:r>
      <w:r w:rsidRPr="00F22575">
        <w:rPr>
          <w:bCs/>
          <w:vertAlign w:val="superscript"/>
          <w:lang w:val="pt-BR"/>
        </w:rPr>
        <w:t>(</w:t>
      </w:r>
      <w:r w:rsidRPr="00F22575">
        <w:rPr>
          <w:rStyle w:val="FootnoteReference"/>
          <w:lang w:val="pt-BR"/>
        </w:rPr>
        <w:footnoteReference w:id="1"/>
      </w:r>
      <w:r w:rsidRPr="00F22575">
        <w:rPr>
          <w:bCs/>
          <w:vertAlign w:val="superscript"/>
          <w:lang w:val="pt-BR"/>
        </w:rPr>
        <w:t>)</w:t>
      </w:r>
      <w:r w:rsidRPr="00F22575">
        <w:rPr>
          <w:bCs/>
          <w:lang w:val="pt-BR"/>
        </w:rPr>
        <w:t xml:space="preserve">, thu ngân sách nhà nước (NSNN) trên địa bàn </w:t>
      </w:r>
      <w:r w:rsidRPr="00F22575">
        <w:rPr>
          <w:b/>
          <w:lang w:val="pt-BR"/>
        </w:rPr>
        <w:t>năm 2023</w:t>
      </w:r>
      <w:r w:rsidRPr="00F22575">
        <w:rPr>
          <w:bCs/>
          <w:lang w:val="pt-BR"/>
        </w:rPr>
        <w:t xml:space="preserve"> là 3.371.663 triệu đồng, </w:t>
      </w:r>
      <w:r w:rsidRPr="00F22575">
        <w:rPr>
          <w:b/>
          <w:lang w:val="pt-BR"/>
        </w:rPr>
        <w:t>đạt 103,9%</w:t>
      </w:r>
      <w:r w:rsidRPr="00F22575">
        <w:rPr>
          <w:bCs/>
          <w:lang w:val="pt-BR"/>
        </w:rPr>
        <w:t xml:space="preserve"> dự toán trung ương giao, </w:t>
      </w:r>
      <w:r w:rsidRPr="00F22575">
        <w:rPr>
          <w:b/>
          <w:lang w:val="pt-BR"/>
        </w:rPr>
        <w:t>đạt 74,9%</w:t>
      </w:r>
      <w:r w:rsidRPr="00F22575">
        <w:rPr>
          <w:bCs/>
          <w:lang w:val="pt-BR"/>
        </w:rPr>
        <w:t xml:space="preserve"> dự toán Hội đồng nhân dân tỉnh giao; trong đó, thu nội địa thực hiện cả năm 2023 là 2.995.656 triệu đồng, </w:t>
      </w:r>
      <w:r w:rsidRPr="00F22575">
        <w:rPr>
          <w:b/>
          <w:lang w:val="pt-BR"/>
        </w:rPr>
        <w:t>đạt 101,4%</w:t>
      </w:r>
      <w:r w:rsidRPr="00F22575">
        <w:rPr>
          <w:bCs/>
          <w:lang w:val="pt-BR"/>
        </w:rPr>
        <w:t xml:space="preserve"> dự toán Trung ương giao, </w:t>
      </w:r>
      <w:r w:rsidRPr="00F22575">
        <w:rPr>
          <w:b/>
          <w:bCs/>
          <w:lang w:val="pt-BR"/>
        </w:rPr>
        <w:t>đạt 71,2%</w:t>
      </w:r>
      <w:r w:rsidRPr="00F22575">
        <w:rPr>
          <w:bCs/>
          <w:lang w:val="pt-BR"/>
        </w:rPr>
        <w:t xml:space="preserve"> dự toán Hội đồng nhân dân tỉnh giao. </w:t>
      </w:r>
    </w:p>
    <w:p w14:paraId="1E438788" w14:textId="049ED286" w:rsidR="00701BBD" w:rsidRPr="00F22575" w:rsidRDefault="00701BBD" w:rsidP="00940FB6">
      <w:pPr>
        <w:pStyle w:val="BodyText"/>
        <w:spacing w:after="120"/>
        <w:ind w:firstLine="709"/>
      </w:pPr>
      <w:r w:rsidRPr="00F22575">
        <w:rPr>
          <w:bCs/>
          <w:lang w:val="pt-BR"/>
        </w:rPr>
        <w:t>Ước</w:t>
      </w:r>
      <w:r w:rsidRPr="00F22575">
        <w:rPr>
          <w:lang w:val="vi-VN"/>
        </w:rPr>
        <w:t xml:space="preserve"> thực hiện thu</w:t>
      </w:r>
      <w:r w:rsidRPr="00F22575">
        <w:t xml:space="preserve"> NSNN </w:t>
      </w:r>
      <w:r w:rsidRPr="00F22575">
        <w:rPr>
          <w:bCs/>
          <w:lang w:val="pt-BR"/>
        </w:rPr>
        <w:t xml:space="preserve">trên địa bàn </w:t>
      </w:r>
      <w:r w:rsidRPr="00F22575">
        <w:rPr>
          <w:lang w:val="vi-VN"/>
        </w:rPr>
        <w:t>6 tháng đầu năm</w:t>
      </w:r>
      <w:r w:rsidRPr="00F22575">
        <w:t xml:space="preserve"> 2024 là</w:t>
      </w:r>
      <w:r w:rsidRPr="00F22575">
        <w:rPr>
          <w:lang w:val="vi-VN"/>
        </w:rPr>
        <w:t xml:space="preserve"> 1.789.000 triệu đồng </w:t>
      </w:r>
      <w:r w:rsidRPr="00F22575">
        <w:rPr>
          <w:b/>
          <w:bCs/>
          <w:lang w:val="vi-VN"/>
        </w:rPr>
        <w:t>đạt 55%</w:t>
      </w:r>
      <w:r w:rsidRPr="00F22575">
        <w:rPr>
          <w:lang w:val="vi-VN"/>
        </w:rPr>
        <w:t xml:space="preserve"> dự toán Trung ương giao, </w:t>
      </w:r>
      <w:r w:rsidRPr="00F22575">
        <w:rPr>
          <w:b/>
          <w:bCs/>
          <w:lang w:val="vi-VN"/>
        </w:rPr>
        <w:t>đạt 38,9%</w:t>
      </w:r>
      <w:r w:rsidRPr="00F22575">
        <w:rPr>
          <w:lang w:val="vi-VN"/>
        </w:rPr>
        <w:t xml:space="preserve"> dự toán Hội đồng nhân dân tỉnh giao</w:t>
      </w:r>
      <w:r w:rsidRPr="00F22575">
        <w:rPr>
          <w:vertAlign w:val="superscript"/>
        </w:rPr>
        <w:t>(</w:t>
      </w:r>
      <w:r w:rsidRPr="00F22575">
        <w:rPr>
          <w:rStyle w:val="FootnoteReference"/>
        </w:rPr>
        <w:footnoteReference w:id="2"/>
      </w:r>
      <w:r w:rsidRPr="00F22575">
        <w:rPr>
          <w:vertAlign w:val="superscript"/>
        </w:rPr>
        <w:t>)</w:t>
      </w:r>
      <w:r w:rsidRPr="00F22575">
        <w:t>.</w:t>
      </w:r>
    </w:p>
    <w:p w14:paraId="1FB34041" w14:textId="77777777" w:rsidR="00701BBD" w:rsidRPr="00F22575" w:rsidRDefault="00701BBD" w:rsidP="00940FB6">
      <w:pPr>
        <w:pStyle w:val="BodyText"/>
        <w:spacing w:after="120"/>
        <w:ind w:firstLine="709"/>
        <w:rPr>
          <w:bCs/>
          <w:lang w:val="pt-BR"/>
        </w:rPr>
      </w:pPr>
      <w:r w:rsidRPr="00F22575">
        <w:rPr>
          <w:lang w:val="vi-VN"/>
        </w:rPr>
        <w:t xml:space="preserve">Năm 2024 là năm bản lề, có ý nghĩa đặc biệt quan trọng trong việc thực hiện thắng lợi </w:t>
      </w:r>
      <w:r w:rsidRPr="00F22575">
        <w:t xml:space="preserve">nhiệm vụ của Nghị quyết </w:t>
      </w:r>
      <w:r w:rsidRPr="00F22575">
        <w:rPr>
          <w:lang w:val="vi-VN"/>
        </w:rPr>
        <w:t>Đại hội đại biểu đảng bộ tỉnh Khóa XVI</w:t>
      </w:r>
      <w:r w:rsidRPr="00F22575">
        <w:t>, Kế hoạch phát triển kinh tế - xã hội 05 năm 2021-2025. Trong đó, chỉ tiêu thu NSNN tại địa bàn tăng bình quân 8,2%/năm và đạt trên 5.000 tỷ đồng vào năm 2025.</w:t>
      </w:r>
      <w:r w:rsidRPr="00F22575">
        <w:rPr>
          <w:bCs/>
          <w:lang w:val="pt-BR"/>
        </w:rPr>
        <w:t xml:space="preserve"> Trên cơ sở kết quả, số liệu về tình hình thu NSNN đến thời điểm hiện nay và tình hình thực tế của địa phương</w:t>
      </w:r>
      <w:r w:rsidRPr="00F22575">
        <w:rPr>
          <w:bCs/>
          <w:vertAlign w:val="superscript"/>
          <w:lang w:val="pt-BR"/>
        </w:rPr>
        <w:t>(</w:t>
      </w:r>
      <w:r w:rsidRPr="00F22575">
        <w:rPr>
          <w:rStyle w:val="FootnoteReference"/>
          <w:lang w:val="pt-BR"/>
        </w:rPr>
        <w:footnoteReference w:id="3"/>
      </w:r>
      <w:r w:rsidRPr="00F22575">
        <w:rPr>
          <w:bCs/>
          <w:vertAlign w:val="superscript"/>
          <w:lang w:val="pt-BR"/>
        </w:rPr>
        <w:t>)</w:t>
      </w:r>
      <w:r w:rsidRPr="00F22575">
        <w:rPr>
          <w:bCs/>
          <w:lang w:val="pt-BR"/>
        </w:rPr>
        <w:t>.</w:t>
      </w:r>
    </w:p>
    <w:p w14:paraId="3AB4BAE8" w14:textId="77777777" w:rsidR="00701BBD" w:rsidRPr="00F22575" w:rsidRDefault="00701BBD" w:rsidP="006F07B6">
      <w:pPr>
        <w:pStyle w:val="BodyText"/>
        <w:spacing w:after="120"/>
        <w:ind w:firstLine="709"/>
        <w:rPr>
          <w:i/>
          <w:iCs/>
          <w:lang w:val="vi-VN"/>
        </w:rPr>
      </w:pPr>
      <w:r w:rsidRPr="00F22575">
        <w:rPr>
          <w:bCs/>
          <w:i/>
          <w:lang w:val="pt-BR"/>
        </w:rPr>
        <w:t xml:space="preserve">Đề nghị đồng chí Giám đốc Sở Tài chính báo cáo làm rõ về tiến độ thực hiện thu NSNN trên địa bàn tỉnh như hiện nay có đảm bảo đạt dự toán Hội đồng nhân </w:t>
      </w:r>
      <w:r w:rsidRPr="00F22575">
        <w:rPr>
          <w:lang w:val="vi-VN"/>
        </w:rPr>
        <w:t xml:space="preserve">dân tỉnh giao đầu năm 2024 không? </w:t>
      </w:r>
      <w:r w:rsidRPr="00F22575">
        <w:rPr>
          <w:i/>
          <w:iCs/>
          <w:lang w:val="vi-VN"/>
        </w:rPr>
        <w:t xml:space="preserve">Đồng chí có giải pháp gì trong thời gian đến để thu đạt dự toán theo kế hoạch đề ra. </w:t>
      </w:r>
    </w:p>
    <w:p w14:paraId="1ED2639F" w14:textId="3CBBE827" w:rsidR="00701BBD" w:rsidRPr="00F22575" w:rsidRDefault="00701BBD" w:rsidP="006F07B6">
      <w:pPr>
        <w:pStyle w:val="BodyText"/>
        <w:spacing w:after="120"/>
        <w:ind w:firstLine="709"/>
        <w:rPr>
          <w:b/>
          <w:bCs/>
        </w:rPr>
      </w:pPr>
      <w:r w:rsidRPr="00F22575">
        <w:rPr>
          <w:b/>
          <w:bCs/>
          <w:lang w:val="vi-VN"/>
        </w:rPr>
        <w:t xml:space="preserve">Trả lời: </w:t>
      </w:r>
    </w:p>
    <w:p w14:paraId="3480CAF7" w14:textId="30C69511" w:rsidR="00245435" w:rsidRPr="00F22575" w:rsidRDefault="00245435" w:rsidP="00245435">
      <w:pPr>
        <w:pStyle w:val="BodyText"/>
        <w:ind w:firstLine="851"/>
      </w:pPr>
      <w:r w:rsidRPr="00F22575">
        <w:t>Lời đầu tiên tôi xin cám ơn Đại biểu Nguyễn Xuân Khánh Tổ đại biểu HĐND tỉnh tại huyện Ia H'Đrai</w:t>
      </w:r>
      <w:r w:rsidR="00607034" w:rsidRPr="00F22575">
        <w:t>,</w:t>
      </w:r>
      <w:r w:rsidRPr="00F22575">
        <w:t xml:space="preserve"> sau đây tôi xin trả lời câu hỏi mà đại biểu đặt ra như sau:</w:t>
      </w:r>
    </w:p>
    <w:p w14:paraId="03373DCC" w14:textId="37A59F7A" w:rsidR="00E421DA" w:rsidRPr="00F22575" w:rsidRDefault="00940FB6" w:rsidP="00906532">
      <w:pPr>
        <w:spacing w:before="120" w:after="0" w:line="240" w:lineRule="auto"/>
        <w:ind w:firstLine="720"/>
        <w:jc w:val="both"/>
        <w:outlineLvl w:val="0"/>
        <w:rPr>
          <w:rFonts w:eastAsia="Times New Roman" w:cs="Times New Roman"/>
          <w:szCs w:val="28"/>
        </w:rPr>
      </w:pPr>
      <w:r w:rsidRPr="00F22575">
        <w:rPr>
          <w:rFonts w:eastAsia="Times New Roman" w:cs="Times New Roman"/>
          <w:szCs w:val="28"/>
        </w:rPr>
        <w:t xml:space="preserve">Dự toán thu ngân sách năm 2024 Trung ương giao </w:t>
      </w:r>
      <w:r w:rsidRPr="00F22575">
        <w:rPr>
          <w:rFonts w:eastAsia="Times New Roman" w:cs="Times New Roman"/>
          <w:b/>
          <w:bCs/>
          <w:szCs w:val="28"/>
        </w:rPr>
        <w:t>3.253</w:t>
      </w:r>
      <w:r w:rsidR="002C63BF" w:rsidRPr="00F22575">
        <w:rPr>
          <w:rFonts w:eastAsia="Times New Roman" w:cs="Times New Roman"/>
          <w:b/>
          <w:bCs/>
          <w:szCs w:val="28"/>
        </w:rPr>
        <w:t xml:space="preserve"> tỷ</w:t>
      </w:r>
      <w:r w:rsidRPr="00F22575">
        <w:rPr>
          <w:rFonts w:eastAsia="Times New Roman" w:cs="Times New Roman"/>
          <w:b/>
          <w:bCs/>
          <w:szCs w:val="28"/>
        </w:rPr>
        <w:t xml:space="preserve"> đồng</w:t>
      </w:r>
      <w:r w:rsidRPr="00F22575">
        <w:rPr>
          <w:rFonts w:eastAsia="Times New Roman" w:cs="Times New Roman"/>
          <w:szCs w:val="28"/>
        </w:rPr>
        <w:t xml:space="preserve">. Dự toán thu Hội đồng nhân dân tỉnh giao </w:t>
      </w:r>
      <w:r w:rsidRPr="00F22575">
        <w:rPr>
          <w:rFonts w:eastAsia="Times New Roman" w:cs="Times New Roman"/>
          <w:b/>
          <w:bCs/>
          <w:szCs w:val="28"/>
        </w:rPr>
        <w:t>4.600</w:t>
      </w:r>
      <w:r w:rsidR="002C63BF" w:rsidRPr="00F22575">
        <w:rPr>
          <w:rFonts w:eastAsia="Times New Roman" w:cs="Times New Roman"/>
          <w:b/>
          <w:bCs/>
          <w:szCs w:val="28"/>
        </w:rPr>
        <w:t xml:space="preserve"> tỷ</w:t>
      </w:r>
      <w:r w:rsidRPr="00F22575">
        <w:rPr>
          <w:rFonts w:eastAsia="Times New Roman" w:cs="Times New Roman"/>
          <w:b/>
          <w:bCs/>
          <w:szCs w:val="28"/>
        </w:rPr>
        <w:t xml:space="preserve"> đồng</w:t>
      </w:r>
      <w:r w:rsidR="001872E7" w:rsidRPr="00F22575">
        <w:rPr>
          <w:rFonts w:eastAsia="Times New Roman" w:cs="Times New Roman"/>
          <w:szCs w:val="28"/>
        </w:rPr>
        <w:t>,</w:t>
      </w:r>
      <w:r w:rsidRPr="00F22575">
        <w:rPr>
          <w:rFonts w:eastAsia="Times New Roman" w:cs="Times New Roman"/>
          <w:szCs w:val="28"/>
        </w:rPr>
        <w:t xml:space="preserve"> </w:t>
      </w:r>
      <w:r w:rsidRPr="00F22575">
        <w:rPr>
          <w:rFonts w:eastAsia="Times New Roman" w:cs="Times New Roman"/>
          <w:b/>
          <w:bCs/>
          <w:szCs w:val="28"/>
        </w:rPr>
        <w:t xml:space="preserve">tăng </w:t>
      </w:r>
      <w:r w:rsidR="001872E7" w:rsidRPr="00F22575">
        <w:rPr>
          <w:rFonts w:eastAsia="Times New Roman" w:cs="Times New Roman"/>
          <w:b/>
          <w:bCs/>
          <w:szCs w:val="28"/>
        </w:rPr>
        <w:t>41,4%</w:t>
      </w:r>
      <w:r w:rsidR="001872E7" w:rsidRPr="00F22575">
        <w:rPr>
          <w:rFonts w:eastAsia="Times New Roman" w:cs="Times New Roman"/>
          <w:szCs w:val="28"/>
        </w:rPr>
        <w:t xml:space="preserve"> </w:t>
      </w:r>
      <w:r w:rsidRPr="00F22575">
        <w:rPr>
          <w:rFonts w:eastAsia="Times New Roman" w:cs="Times New Roman"/>
          <w:szCs w:val="28"/>
        </w:rPr>
        <w:t>so trung ương</w:t>
      </w:r>
      <w:r w:rsidR="001872E7" w:rsidRPr="00F22575">
        <w:rPr>
          <w:rFonts w:eastAsia="Times New Roman" w:cs="Times New Roman"/>
          <w:szCs w:val="28"/>
        </w:rPr>
        <w:t xml:space="preserve"> giao</w:t>
      </w:r>
      <w:r w:rsidRPr="00F22575">
        <w:rPr>
          <w:rFonts w:eastAsia="Times New Roman" w:cs="Times New Roman"/>
          <w:szCs w:val="28"/>
        </w:rPr>
        <w:t xml:space="preserve"> </w:t>
      </w:r>
      <w:r w:rsidR="001872E7" w:rsidRPr="00F22575">
        <w:rPr>
          <w:rFonts w:eastAsia="Times New Roman" w:cs="Times New Roman"/>
          <w:szCs w:val="28"/>
        </w:rPr>
        <w:t>(</w:t>
      </w:r>
      <w:r w:rsidR="001872E7" w:rsidRPr="00F22575">
        <w:rPr>
          <w:rFonts w:eastAsia="Times New Roman" w:cs="Times New Roman"/>
          <w:b/>
          <w:bCs/>
          <w:szCs w:val="28"/>
        </w:rPr>
        <w:t xml:space="preserve">tăng </w:t>
      </w:r>
      <w:r w:rsidRPr="00F22575">
        <w:rPr>
          <w:rFonts w:eastAsia="Times New Roman" w:cs="Times New Roman"/>
          <w:b/>
          <w:bCs/>
          <w:szCs w:val="28"/>
        </w:rPr>
        <w:t>1.347</w:t>
      </w:r>
      <w:r w:rsidR="002C63BF" w:rsidRPr="00F22575">
        <w:rPr>
          <w:rFonts w:eastAsia="Times New Roman" w:cs="Times New Roman"/>
          <w:b/>
          <w:bCs/>
          <w:szCs w:val="28"/>
        </w:rPr>
        <w:t xml:space="preserve"> tỷ</w:t>
      </w:r>
      <w:r w:rsidRPr="00F22575">
        <w:rPr>
          <w:rFonts w:eastAsia="Times New Roman" w:cs="Times New Roman"/>
          <w:b/>
          <w:bCs/>
          <w:szCs w:val="28"/>
        </w:rPr>
        <w:t xml:space="preserve"> đồng</w:t>
      </w:r>
      <w:r w:rsidR="00906532" w:rsidRPr="00F22575">
        <w:rPr>
          <w:rFonts w:eastAsia="Times New Roman" w:cs="Times New Roman"/>
          <w:b/>
          <w:bCs/>
          <w:szCs w:val="28"/>
        </w:rPr>
        <w:t>, chủ yếu giao tăng thu từ các dự án khai thác quỹ đất</w:t>
      </w:r>
      <w:r w:rsidRPr="00F22575">
        <w:rPr>
          <w:rFonts w:eastAsia="Times New Roman" w:cs="Times New Roman"/>
          <w:szCs w:val="28"/>
        </w:rPr>
        <w:t>).</w:t>
      </w:r>
      <w:r w:rsidR="001872E7" w:rsidRPr="00F22575">
        <w:rPr>
          <w:bCs/>
          <w:szCs w:val="28"/>
          <w:lang w:val="pt-BR"/>
        </w:rPr>
        <w:t xml:space="preserve"> </w:t>
      </w:r>
      <w:r w:rsidR="00DE4A1B" w:rsidRPr="00F22575">
        <w:rPr>
          <w:bCs/>
          <w:szCs w:val="28"/>
          <w:lang w:val="pt-BR"/>
        </w:rPr>
        <w:t>S</w:t>
      </w:r>
      <w:r w:rsidR="001872E7" w:rsidRPr="00F22575">
        <w:rPr>
          <w:rFonts w:eastAsia="Times New Roman" w:cs="Times New Roman"/>
          <w:szCs w:val="28"/>
        </w:rPr>
        <w:t xml:space="preserve">ố </w:t>
      </w:r>
      <w:r w:rsidR="00F7361A" w:rsidRPr="00F22575">
        <w:rPr>
          <w:rFonts w:eastAsia="Times New Roman" w:cs="Times New Roman"/>
          <w:szCs w:val="28"/>
        </w:rPr>
        <w:t>thu</w:t>
      </w:r>
      <w:r w:rsidR="00DE4A1B" w:rsidRPr="00F22575">
        <w:rPr>
          <w:rFonts w:eastAsia="Times New Roman" w:cs="Times New Roman"/>
          <w:szCs w:val="28"/>
        </w:rPr>
        <w:t xml:space="preserve"> NSNN</w:t>
      </w:r>
      <w:r w:rsidR="00F7361A" w:rsidRPr="00F22575">
        <w:rPr>
          <w:rFonts w:eastAsia="Times New Roman" w:cs="Times New Roman"/>
          <w:szCs w:val="28"/>
        </w:rPr>
        <w:t xml:space="preserve"> </w:t>
      </w:r>
      <w:r w:rsidR="001872E7" w:rsidRPr="00F22575">
        <w:rPr>
          <w:rFonts w:eastAsia="Times New Roman" w:cs="Times New Roman"/>
          <w:szCs w:val="28"/>
        </w:rPr>
        <w:t xml:space="preserve">thực tế </w:t>
      </w:r>
      <w:r w:rsidR="002C63BF" w:rsidRPr="00F22575">
        <w:rPr>
          <w:rFonts w:eastAsia="Times New Roman" w:cs="Times New Roman"/>
          <w:szCs w:val="28"/>
        </w:rPr>
        <w:t>6 tháng đầu năm</w:t>
      </w:r>
      <w:r w:rsidR="001872E7" w:rsidRPr="00F22575">
        <w:rPr>
          <w:rFonts w:eastAsia="Times New Roman" w:cs="Times New Roman"/>
          <w:szCs w:val="28"/>
        </w:rPr>
        <w:t xml:space="preserve"> là</w:t>
      </w:r>
      <w:r w:rsidRPr="00F22575">
        <w:rPr>
          <w:rFonts w:eastAsia="Times New Roman" w:cs="Times New Roman"/>
          <w:szCs w:val="28"/>
        </w:rPr>
        <w:t xml:space="preserve"> </w:t>
      </w:r>
      <w:r w:rsidRPr="00F22575">
        <w:rPr>
          <w:rFonts w:eastAsia="Times New Roman" w:cs="Times New Roman"/>
          <w:szCs w:val="28"/>
          <w:lang w:val="am-ET"/>
        </w:rPr>
        <w:t xml:space="preserve"> </w:t>
      </w:r>
      <w:r w:rsidRPr="00F22575">
        <w:rPr>
          <w:rFonts w:eastAsia="Times New Roman" w:cs="Times New Roman"/>
          <w:b/>
          <w:bCs/>
          <w:szCs w:val="28"/>
          <w:lang w:val="am-ET"/>
        </w:rPr>
        <w:t>1.58</w:t>
      </w:r>
      <w:r w:rsidR="002C63BF" w:rsidRPr="00F22575">
        <w:rPr>
          <w:rFonts w:eastAsia="Times New Roman" w:cs="Times New Roman"/>
          <w:b/>
          <w:bCs/>
          <w:szCs w:val="28"/>
          <w:lang w:val="am-ET"/>
        </w:rPr>
        <w:t>8 tỷ</w:t>
      </w:r>
      <w:r w:rsidRPr="00F22575">
        <w:rPr>
          <w:rFonts w:eastAsia="Times New Roman" w:cs="Times New Roman"/>
          <w:b/>
          <w:bCs/>
          <w:szCs w:val="28"/>
          <w:lang w:val="am-ET"/>
        </w:rPr>
        <w:t xml:space="preserve"> đồng</w:t>
      </w:r>
      <w:r w:rsidRPr="00F22575">
        <w:rPr>
          <w:rFonts w:eastAsia="Times New Roman" w:cs="Times New Roman"/>
          <w:szCs w:val="28"/>
          <w:lang w:val="am-ET"/>
        </w:rPr>
        <w:t xml:space="preserve">, </w:t>
      </w:r>
      <w:r w:rsidR="00245435" w:rsidRPr="00F22575">
        <w:rPr>
          <w:rFonts w:eastAsia="Times New Roman" w:cs="Times New Roman"/>
          <w:szCs w:val="28"/>
          <w:lang w:val="am-ET"/>
        </w:rPr>
        <w:t xml:space="preserve">đạt </w:t>
      </w:r>
      <w:r w:rsidR="00245435" w:rsidRPr="00F22575">
        <w:rPr>
          <w:rFonts w:eastAsia="Times New Roman" w:cs="Times New Roman"/>
          <w:b/>
          <w:bCs/>
          <w:szCs w:val="28"/>
          <w:lang w:val="am-ET"/>
        </w:rPr>
        <w:t>48,</w:t>
      </w:r>
      <w:r w:rsidR="00773ABD" w:rsidRPr="00F22575">
        <w:rPr>
          <w:rFonts w:eastAsia="Times New Roman" w:cs="Times New Roman"/>
          <w:b/>
          <w:bCs/>
          <w:szCs w:val="28"/>
          <w:lang w:val="am-ET"/>
        </w:rPr>
        <w:t>8</w:t>
      </w:r>
      <w:r w:rsidR="00245435" w:rsidRPr="00F22575">
        <w:rPr>
          <w:rFonts w:eastAsia="Times New Roman" w:cs="Times New Roman"/>
          <w:b/>
          <w:bCs/>
          <w:szCs w:val="28"/>
          <w:lang w:val="am-ET"/>
        </w:rPr>
        <w:t>%</w:t>
      </w:r>
      <w:r w:rsidR="00245435" w:rsidRPr="00F22575">
        <w:rPr>
          <w:rFonts w:eastAsia="Times New Roman" w:cs="Times New Roman"/>
          <w:szCs w:val="28"/>
          <w:lang w:val="am-ET"/>
        </w:rPr>
        <w:t xml:space="preserve"> dự toán trung ương giao,</w:t>
      </w:r>
      <w:r w:rsidR="00F7361A" w:rsidRPr="00F22575">
        <w:rPr>
          <w:rFonts w:eastAsia="Times New Roman" w:cs="Times New Roman"/>
          <w:szCs w:val="28"/>
          <w:lang w:val="am-ET"/>
        </w:rPr>
        <w:t xml:space="preserve"> </w:t>
      </w:r>
      <w:r w:rsidRPr="00F22575">
        <w:rPr>
          <w:rFonts w:eastAsia="Times New Roman" w:cs="Times New Roman"/>
          <w:szCs w:val="28"/>
          <w:lang w:val="am-ET"/>
        </w:rPr>
        <w:t xml:space="preserve">đạt </w:t>
      </w:r>
      <w:r w:rsidRPr="00F22575">
        <w:rPr>
          <w:rFonts w:eastAsia="Times New Roman" w:cs="Times New Roman"/>
          <w:b/>
          <w:bCs/>
          <w:szCs w:val="28"/>
        </w:rPr>
        <w:t>34,5%</w:t>
      </w:r>
      <w:r w:rsidRPr="00F22575">
        <w:rPr>
          <w:rFonts w:eastAsia="Times New Roman" w:cs="Times New Roman"/>
          <w:szCs w:val="28"/>
          <w:lang w:val="am-ET"/>
        </w:rPr>
        <w:t xml:space="preserve"> dự toán </w:t>
      </w:r>
      <w:r w:rsidRPr="00F22575">
        <w:rPr>
          <w:rFonts w:eastAsia="Times New Roman" w:cs="Times New Roman"/>
          <w:szCs w:val="28"/>
        </w:rPr>
        <w:t>Hội đồng nhân dân</w:t>
      </w:r>
      <w:r w:rsidRPr="00F22575">
        <w:rPr>
          <w:rFonts w:eastAsia="Times New Roman" w:cs="Times New Roman"/>
          <w:szCs w:val="28"/>
          <w:lang w:val="am-ET"/>
        </w:rPr>
        <w:t xml:space="preserve"> tỉnh giao</w:t>
      </w:r>
      <w:r w:rsidR="00A6342F" w:rsidRPr="00F22575">
        <w:rPr>
          <w:rFonts w:eastAsia="Times New Roman" w:cs="Times New Roman"/>
          <w:szCs w:val="28"/>
          <w:lang w:val="am-ET"/>
        </w:rPr>
        <w:t xml:space="preserve"> </w:t>
      </w:r>
      <w:r w:rsidR="00A6342F" w:rsidRPr="00F22575">
        <w:rPr>
          <w:rFonts w:eastAsia="Times New Roman" w:cs="Times New Roman"/>
          <w:b/>
          <w:bCs/>
          <w:szCs w:val="28"/>
          <w:lang w:val="am-ET"/>
        </w:rPr>
        <w:t>(</w:t>
      </w:r>
      <w:r w:rsidR="00245435" w:rsidRPr="00F22575">
        <w:rPr>
          <w:rFonts w:eastAsia="Times New Roman" w:cs="Times New Roman"/>
          <w:b/>
          <w:bCs/>
          <w:i/>
          <w:iCs/>
          <w:szCs w:val="28"/>
        </w:rPr>
        <w:t xml:space="preserve">Nếu loại trừ thu tiền sử dụng đất thì tiến độ thu đạt </w:t>
      </w:r>
      <w:r w:rsidR="00607034" w:rsidRPr="00F22575">
        <w:rPr>
          <w:rFonts w:eastAsia="Times New Roman" w:cs="Times New Roman"/>
          <w:b/>
          <w:bCs/>
          <w:i/>
          <w:iCs/>
          <w:szCs w:val="28"/>
        </w:rPr>
        <w:t>kế hoạch đề ra</w:t>
      </w:r>
      <w:r w:rsidR="00A6342F" w:rsidRPr="00F22575">
        <w:rPr>
          <w:rStyle w:val="FootnoteReference"/>
          <w:rFonts w:eastAsia="Times New Roman" w:cs="Times New Roman"/>
          <w:i/>
          <w:iCs/>
          <w:szCs w:val="28"/>
        </w:rPr>
        <w:footnoteReference w:id="4"/>
      </w:r>
      <w:r w:rsidR="00A6342F" w:rsidRPr="00F22575">
        <w:rPr>
          <w:rFonts w:eastAsia="Times New Roman" w:cs="Times New Roman"/>
          <w:i/>
          <w:iCs/>
          <w:szCs w:val="28"/>
        </w:rPr>
        <w:t>).</w:t>
      </w:r>
      <w:r w:rsidR="00245435" w:rsidRPr="00F22575">
        <w:rPr>
          <w:rFonts w:eastAsia="Times New Roman" w:cs="Times New Roman"/>
          <w:szCs w:val="28"/>
        </w:rPr>
        <w:t xml:space="preserve"> </w:t>
      </w:r>
      <w:r w:rsidR="00F7361A" w:rsidRPr="00F22575">
        <w:rPr>
          <w:rFonts w:eastAsia="Times New Roman" w:cs="Times New Roman"/>
          <w:szCs w:val="28"/>
        </w:rPr>
        <w:t xml:space="preserve">Như vậy, thu ngân sách Nhà nước 06 tháng </w:t>
      </w:r>
      <w:r w:rsidR="00F7361A" w:rsidRPr="00F22575">
        <w:rPr>
          <w:rFonts w:eastAsia="Times New Roman" w:cs="Times New Roman"/>
          <w:szCs w:val="28"/>
        </w:rPr>
        <w:lastRenderedPageBreak/>
        <w:t>đầu chưa đạt tiến độ dự toán Hội đồng nhân dân tỉnh giao</w:t>
      </w:r>
      <w:r w:rsidR="00E421DA" w:rsidRPr="00F22575">
        <w:rPr>
          <w:rFonts w:eastAsia="Times New Roman" w:cs="Times New Roman"/>
          <w:szCs w:val="28"/>
        </w:rPr>
        <w:t>, bởi các n</w:t>
      </w:r>
      <w:r w:rsidR="00F7361A" w:rsidRPr="00F22575">
        <w:rPr>
          <w:rFonts w:eastAsia="Times New Roman" w:cs="Times New Roman"/>
          <w:szCs w:val="28"/>
        </w:rPr>
        <w:t>guyên nhân</w:t>
      </w:r>
      <w:r w:rsidR="00EC4BD0" w:rsidRPr="00F22575">
        <w:rPr>
          <w:rFonts w:eastAsia="Times New Roman" w:cs="Times New Roman"/>
          <w:szCs w:val="28"/>
        </w:rPr>
        <w:t>, khó khăn</w:t>
      </w:r>
      <w:r w:rsidR="00F7361A" w:rsidRPr="00F22575">
        <w:rPr>
          <w:rFonts w:eastAsia="Times New Roman" w:cs="Times New Roman"/>
          <w:szCs w:val="28"/>
        </w:rPr>
        <w:t xml:space="preserve"> </w:t>
      </w:r>
      <w:r w:rsidR="00E421DA" w:rsidRPr="00F22575">
        <w:rPr>
          <w:rFonts w:eastAsia="Times New Roman" w:cs="Times New Roman"/>
          <w:szCs w:val="28"/>
        </w:rPr>
        <w:t>sau:</w:t>
      </w:r>
    </w:p>
    <w:p w14:paraId="29D06CC0" w14:textId="03AA8C7F" w:rsidR="00B21CAF" w:rsidRPr="00F22575" w:rsidRDefault="000D44C9" w:rsidP="00A73C1A">
      <w:pPr>
        <w:tabs>
          <w:tab w:val="left" w:pos="1498"/>
        </w:tabs>
        <w:spacing w:before="120" w:after="0" w:line="240" w:lineRule="auto"/>
        <w:ind w:firstLine="720"/>
        <w:jc w:val="both"/>
        <w:rPr>
          <w:rFonts w:eastAsia="Times New Roman" w:cs="Times New Roman"/>
          <w:szCs w:val="28"/>
        </w:rPr>
      </w:pPr>
      <w:r w:rsidRPr="00F22575">
        <w:rPr>
          <w:rFonts w:eastAsia="Times New Roman" w:cs="Times New Roman"/>
          <w:szCs w:val="28"/>
        </w:rPr>
        <w:t>(1)</w:t>
      </w:r>
      <w:r w:rsidR="00E421DA" w:rsidRPr="00F22575">
        <w:rPr>
          <w:rFonts w:eastAsia="Times New Roman" w:cs="Times New Roman"/>
          <w:szCs w:val="28"/>
        </w:rPr>
        <w:t xml:space="preserve"> D</w:t>
      </w:r>
      <w:r w:rsidR="00F7361A" w:rsidRPr="00F22575">
        <w:rPr>
          <w:rFonts w:eastAsia="Times New Roman" w:cs="Times New Roman"/>
          <w:szCs w:val="28"/>
        </w:rPr>
        <w:t xml:space="preserve">iễn biến tình hình thời tiết trong </w:t>
      </w:r>
      <w:r w:rsidR="00A6342F" w:rsidRPr="00F22575">
        <w:rPr>
          <w:rFonts w:eastAsia="Times New Roman" w:cs="Times New Roman"/>
          <w:szCs w:val="28"/>
        </w:rPr>
        <w:t>6</w:t>
      </w:r>
      <w:r w:rsidR="00F7361A" w:rsidRPr="00F22575">
        <w:rPr>
          <w:rFonts w:eastAsia="Times New Roman" w:cs="Times New Roman"/>
          <w:szCs w:val="28"/>
        </w:rPr>
        <w:t xml:space="preserve"> tháng đầu năm 2024 nắng nóng và khô hạn, lượng mưa giảm</w:t>
      </w:r>
      <w:r w:rsidR="00906532" w:rsidRPr="00F22575">
        <w:rPr>
          <w:rFonts w:eastAsia="Times New Roman" w:cs="Times New Roman"/>
          <w:szCs w:val="28"/>
        </w:rPr>
        <w:t>,</w:t>
      </w:r>
      <w:r w:rsidR="00F7361A" w:rsidRPr="00F22575">
        <w:rPr>
          <w:rFonts w:eastAsia="Times New Roman" w:cs="Times New Roman"/>
          <w:szCs w:val="28"/>
        </w:rPr>
        <w:t xml:space="preserve"> ảnh hưởng trực tiếp đến sản lượng điện</w:t>
      </w:r>
      <w:r w:rsidR="00DB7EDB" w:rsidRPr="00F22575">
        <w:rPr>
          <w:rFonts w:eastAsia="Times New Roman" w:cs="Times New Roman"/>
          <w:szCs w:val="28"/>
        </w:rPr>
        <w:t>, dẫn đến</w:t>
      </w:r>
      <w:r w:rsidR="00F7361A" w:rsidRPr="00F22575">
        <w:rPr>
          <w:rFonts w:eastAsia="Times New Roman" w:cs="Times New Roman"/>
          <w:szCs w:val="28"/>
        </w:rPr>
        <w:t xml:space="preserve"> số thu </w:t>
      </w:r>
      <w:r w:rsidR="00DB7EDB" w:rsidRPr="00F22575">
        <w:rPr>
          <w:rFonts w:eastAsia="Times New Roman" w:cs="Times New Roman"/>
          <w:szCs w:val="28"/>
        </w:rPr>
        <w:t xml:space="preserve">thuế từ các nhà máy thủy điện </w:t>
      </w:r>
      <w:r w:rsidR="00F7361A" w:rsidRPr="00F22575">
        <w:rPr>
          <w:rFonts w:eastAsia="Times New Roman" w:cs="Times New Roman"/>
          <w:szCs w:val="28"/>
        </w:rPr>
        <w:t>nộp ngân sách</w:t>
      </w:r>
      <w:r w:rsidR="00DB7EDB" w:rsidRPr="00F22575">
        <w:rPr>
          <w:rFonts w:eastAsia="Times New Roman" w:cs="Times New Roman"/>
          <w:szCs w:val="28"/>
        </w:rPr>
        <w:t xml:space="preserve"> chưa đạt tiến độ dự toán</w:t>
      </w:r>
      <w:r w:rsidR="00F7361A" w:rsidRPr="00F22575">
        <w:rPr>
          <w:rFonts w:eastAsia="Times New Roman" w:cs="Times New Roman"/>
          <w:szCs w:val="28"/>
        </w:rPr>
        <w:t xml:space="preserve">; </w:t>
      </w:r>
    </w:p>
    <w:p w14:paraId="511AA573" w14:textId="3B991387" w:rsidR="00B663C4" w:rsidRPr="00F22575" w:rsidRDefault="000D44C9" w:rsidP="009324D7">
      <w:pPr>
        <w:pStyle w:val="FootnoteText"/>
        <w:ind w:firstLine="709"/>
        <w:jc w:val="both"/>
        <w:rPr>
          <w:rFonts w:ascii="Times New Roman" w:eastAsia="Times New Roman" w:hAnsi="Times New Roman"/>
          <w:sz w:val="28"/>
          <w:szCs w:val="28"/>
        </w:rPr>
      </w:pPr>
      <w:r w:rsidRPr="00F22575">
        <w:rPr>
          <w:rFonts w:ascii="Times New Roman" w:eastAsia="Times New Roman" w:hAnsi="Times New Roman"/>
          <w:sz w:val="28"/>
          <w:szCs w:val="28"/>
        </w:rPr>
        <w:t>(2)</w:t>
      </w:r>
      <w:r w:rsidR="00A73C1A" w:rsidRPr="00F22575">
        <w:rPr>
          <w:rFonts w:ascii="Times New Roman" w:eastAsia="Times New Roman" w:hAnsi="Times New Roman"/>
          <w:sz w:val="28"/>
          <w:szCs w:val="28"/>
        </w:rPr>
        <w:t xml:space="preserve"> </w:t>
      </w:r>
      <w:r w:rsidR="00B21CAF" w:rsidRPr="00F22575">
        <w:rPr>
          <w:rFonts w:ascii="Times New Roman" w:eastAsia="Times New Roman" w:hAnsi="Times New Roman"/>
          <w:sz w:val="28"/>
          <w:szCs w:val="28"/>
        </w:rPr>
        <w:t>T</w:t>
      </w:r>
      <w:r w:rsidR="00F7361A" w:rsidRPr="00F22575">
        <w:rPr>
          <w:rFonts w:ascii="Times New Roman" w:eastAsia="Times New Roman" w:hAnsi="Times New Roman"/>
          <w:sz w:val="28"/>
          <w:szCs w:val="28"/>
        </w:rPr>
        <w:t xml:space="preserve">hực hiện cơ chế, chính sách miễn, giảm thuế </w:t>
      </w:r>
      <w:r w:rsidR="00D66CE5" w:rsidRPr="00F22575">
        <w:rPr>
          <w:rFonts w:ascii="Times New Roman" w:hAnsi="Times New Roman"/>
          <w:sz w:val="28"/>
          <w:szCs w:val="28"/>
          <w:lang w:val="nl-NL"/>
        </w:rPr>
        <w:t xml:space="preserve">theo </w:t>
      </w:r>
      <w:r w:rsidR="009324D7" w:rsidRPr="00F22575">
        <w:rPr>
          <w:rFonts w:ascii="Times New Roman" w:hAnsi="Times New Roman"/>
          <w:sz w:val="28"/>
          <w:szCs w:val="28"/>
        </w:rPr>
        <w:t xml:space="preserve">Nghị quyết của Quốc hội; </w:t>
      </w:r>
      <w:r w:rsidR="00D66CE5" w:rsidRPr="00F22575">
        <w:rPr>
          <w:rFonts w:ascii="Times New Roman" w:hAnsi="Times New Roman"/>
          <w:sz w:val="28"/>
          <w:szCs w:val="28"/>
          <w:lang w:val="nl-NL"/>
        </w:rPr>
        <w:t>Nghị định số 94/2023/NĐ-CP của Chính phủ, thuế suất thuế GTGT giảm còn 8% làm số nộp thuế GTGT 06 tháng đầu năm giảm</w:t>
      </w:r>
      <w:r w:rsidR="006F07B6" w:rsidRPr="00F22575">
        <w:rPr>
          <w:rFonts w:ascii="Times New Roman" w:hAnsi="Times New Roman"/>
          <w:sz w:val="28"/>
          <w:szCs w:val="28"/>
          <w:lang w:val="nl-NL"/>
        </w:rPr>
        <w:t>,</w:t>
      </w:r>
      <w:r w:rsidR="00F7361A" w:rsidRPr="00F22575">
        <w:rPr>
          <w:rFonts w:ascii="Times New Roman" w:eastAsia="Times New Roman" w:hAnsi="Times New Roman"/>
          <w:sz w:val="28"/>
          <w:szCs w:val="28"/>
        </w:rPr>
        <w:t xml:space="preserve"> đã ảnh hưởng đến số thu nộp ngân sách năm 2024</w:t>
      </w:r>
      <w:r w:rsidR="00B663C4" w:rsidRPr="00F22575">
        <w:rPr>
          <w:rFonts w:ascii="Times New Roman" w:eastAsia="Times New Roman" w:hAnsi="Times New Roman"/>
          <w:sz w:val="28"/>
          <w:szCs w:val="28"/>
        </w:rPr>
        <w:t xml:space="preserve">. Tuy nhiên, 6 tháng đầu năm số thu từ thuế, phí, lệ phí đạt kế hoạch đề ra, đảm bảo cân đối chi </w:t>
      </w:r>
      <w:r w:rsidR="00BD29D7" w:rsidRPr="00F22575">
        <w:rPr>
          <w:rFonts w:ascii="Times New Roman" w:eastAsia="Times New Roman" w:hAnsi="Times New Roman"/>
          <w:sz w:val="28"/>
          <w:szCs w:val="28"/>
        </w:rPr>
        <w:t xml:space="preserve">cân đối các cấp chính quyền địa phương </w:t>
      </w:r>
      <w:r w:rsidR="00B663C4" w:rsidRPr="00F22575">
        <w:rPr>
          <w:rFonts w:ascii="Times New Roman" w:eastAsia="Times New Roman" w:hAnsi="Times New Roman"/>
          <w:sz w:val="28"/>
          <w:szCs w:val="28"/>
        </w:rPr>
        <w:t>từ tỉnh đến huyện</w:t>
      </w:r>
      <w:r w:rsidR="00BD29D7" w:rsidRPr="00F22575">
        <w:rPr>
          <w:rFonts w:ascii="Times New Roman" w:eastAsia="Times New Roman" w:hAnsi="Times New Roman"/>
          <w:sz w:val="28"/>
          <w:szCs w:val="28"/>
        </w:rPr>
        <w:t>, xã</w:t>
      </w:r>
      <w:r w:rsidR="00B663C4" w:rsidRPr="00F22575">
        <w:rPr>
          <w:rFonts w:ascii="Times New Roman" w:eastAsia="Times New Roman" w:hAnsi="Times New Roman"/>
          <w:sz w:val="28"/>
          <w:szCs w:val="28"/>
        </w:rPr>
        <w:t>; số thu chưa đạt tiến độ đề ra chủ yếu là thu tiền sử dụng đất.</w:t>
      </w:r>
    </w:p>
    <w:p w14:paraId="4195485A" w14:textId="69B58B78" w:rsidR="00940FB6" w:rsidRPr="00F22575" w:rsidRDefault="000D44C9" w:rsidP="00B663C4">
      <w:pPr>
        <w:tabs>
          <w:tab w:val="left" w:pos="1498"/>
        </w:tabs>
        <w:spacing w:before="120" w:after="0" w:line="240" w:lineRule="auto"/>
        <w:ind w:firstLine="720"/>
        <w:jc w:val="both"/>
        <w:rPr>
          <w:rFonts w:eastAsia="Calibri" w:cs="Times New Roman"/>
          <w:bCs/>
          <w:szCs w:val="28"/>
          <w:lang w:eastAsia="vi-VN"/>
        </w:rPr>
      </w:pPr>
      <w:r w:rsidRPr="00F22575">
        <w:rPr>
          <w:rFonts w:eastAsia="Times New Roman" w:cs="Times New Roman"/>
          <w:szCs w:val="28"/>
        </w:rPr>
        <w:t>(3)</w:t>
      </w:r>
      <w:r w:rsidR="00A73C1A" w:rsidRPr="00F22575">
        <w:rPr>
          <w:rFonts w:eastAsia="Times New Roman" w:cs="Times New Roman"/>
          <w:szCs w:val="28"/>
        </w:rPr>
        <w:t xml:space="preserve"> </w:t>
      </w:r>
      <w:r w:rsidRPr="00F22575">
        <w:rPr>
          <w:rFonts w:eastAsia="Times New Roman" w:cs="Times New Roman"/>
          <w:szCs w:val="28"/>
        </w:rPr>
        <w:t>T</w:t>
      </w:r>
      <w:r w:rsidR="00F7361A" w:rsidRPr="00F22575">
        <w:rPr>
          <w:rFonts w:eastAsia="Times New Roman" w:cs="Times New Roman"/>
          <w:bCs/>
          <w:szCs w:val="28"/>
          <w:lang w:val="nl-NL" w:bidi="en-US"/>
        </w:rPr>
        <w:t>hị trường bất động sản cả nước nói chung và địa bàn tỉnh Kon Tum nói riêng trầm lắng</w:t>
      </w:r>
      <w:r w:rsidR="00EC4BD0" w:rsidRPr="00F22575">
        <w:rPr>
          <w:rFonts w:eastAsia="Times New Roman" w:cs="Times New Roman"/>
          <w:bCs/>
          <w:szCs w:val="28"/>
          <w:lang w:val="nl-NL" w:bidi="en-US"/>
        </w:rPr>
        <w:t>, “đóng băng”</w:t>
      </w:r>
      <w:r w:rsidR="00F7361A" w:rsidRPr="00F22575">
        <w:rPr>
          <w:rFonts w:eastAsia="Times New Roman" w:cs="Times New Roman"/>
          <w:bCs/>
          <w:szCs w:val="28"/>
          <w:lang w:val="nl-NL" w:bidi="en-US"/>
        </w:rPr>
        <w:t>, kết quả bán đấu giá đất đến nay chưa thành công theo kế hoạch</w:t>
      </w:r>
      <w:r w:rsidRPr="00F22575">
        <w:rPr>
          <w:rStyle w:val="FootnoteReference"/>
          <w:rFonts w:eastAsia="Times New Roman" w:cs="Times New Roman"/>
          <w:bCs/>
          <w:szCs w:val="28"/>
          <w:lang w:val="nl-NL" w:bidi="en-US"/>
        </w:rPr>
        <w:footnoteReference w:id="5"/>
      </w:r>
      <w:r w:rsidR="00B663C4" w:rsidRPr="00F22575">
        <w:rPr>
          <w:rFonts w:eastAsia="Times New Roman" w:cs="Times New Roman"/>
          <w:bCs/>
          <w:szCs w:val="28"/>
          <w:lang w:val="nl-NL" w:bidi="en-US"/>
        </w:rPr>
        <w:t>,</w:t>
      </w:r>
      <w:r w:rsidR="00B663C4" w:rsidRPr="00F22575">
        <w:rPr>
          <w:rFonts w:eastAsia="Times New Roman" w:cs="Times New Roman"/>
          <w:szCs w:val="28"/>
        </w:rPr>
        <w:t xml:space="preserve"> bên cạnh đó</w:t>
      </w:r>
      <w:r w:rsidR="00E421DA" w:rsidRPr="00F22575">
        <w:rPr>
          <w:rFonts w:eastAsia="Calibri" w:cs="Times New Roman"/>
          <w:bCs/>
          <w:szCs w:val="28"/>
          <w:lang w:eastAsia="vi-VN"/>
        </w:rPr>
        <w:t xml:space="preserve"> </w:t>
      </w:r>
      <w:r w:rsidR="00B663C4" w:rsidRPr="00F22575">
        <w:rPr>
          <w:rFonts w:eastAsia="Calibri" w:cs="Times New Roman"/>
          <w:bCs/>
          <w:szCs w:val="28"/>
          <w:lang w:eastAsia="vi-VN"/>
        </w:rPr>
        <w:t>v</w:t>
      </w:r>
      <w:r w:rsidR="00940FB6" w:rsidRPr="00F22575">
        <w:rPr>
          <w:rFonts w:eastAsia="Calibri" w:cs="Times New Roman"/>
          <w:bCs/>
          <w:szCs w:val="28"/>
          <w:lang w:eastAsia="vi-VN"/>
        </w:rPr>
        <w:t>ề tình hình thực hiện bán đấu giá các cơ sở nhà, đất</w:t>
      </w:r>
      <w:r w:rsidR="00940FB6" w:rsidRPr="00F22575">
        <w:rPr>
          <w:rFonts w:eastAsia="Calibri" w:cs="Times New Roman"/>
          <w:bCs/>
          <w:szCs w:val="28"/>
          <w:vertAlign w:val="superscript"/>
          <w:lang w:eastAsia="vi-VN"/>
        </w:rPr>
        <w:footnoteReference w:id="6"/>
      </w:r>
      <w:r w:rsidR="00B663C4" w:rsidRPr="00F22575">
        <w:rPr>
          <w:rFonts w:eastAsia="Calibri" w:cs="Times New Roman"/>
          <w:bCs/>
          <w:szCs w:val="28"/>
          <w:lang w:eastAsia="vi-VN"/>
        </w:rPr>
        <w:t xml:space="preserve"> trong 6 tháng đầu năm2024 </w:t>
      </w:r>
      <w:r w:rsidR="00E421DA" w:rsidRPr="00F22575">
        <w:rPr>
          <w:rFonts w:eastAsia="Calibri" w:cs="Times New Roman"/>
          <w:bCs/>
          <w:szCs w:val="28"/>
          <w:lang w:eastAsia="vi-VN"/>
        </w:rPr>
        <w:t>chưa</w:t>
      </w:r>
      <w:r w:rsidR="00940FB6" w:rsidRPr="00F22575">
        <w:rPr>
          <w:rFonts w:eastAsia="Calibri" w:cs="Times New Roman"/>
          <w:bCs/>
          <w:szCs w:val="28"/>
          <w:lang w:eastAsia="vi-VN"/>
        </w:rPr>
        <w:t xml:space="preserve"> có nhà đầu tư </w:t>
      </w:r>
      <w:r w:rsidR="00B663C4" w:rsidRPr="00F22575">
        <w:rPr>
          <w:rFonts w:eastAsia="Calibri" w:cs="Times New Roman"/>
          <w:bCs/>
          <w:szCs w:val="28"/>
          <w:lang w:eastAsia="vi-VN"/>
        </w:rPr>
        <w:t xml:space="preserve">quan tâm, tìm hiểu </w:t>
      </w:r>
      <w:r w:rsidR="00940FB6" w:rsidRPr="00F22575">
        <w:rPr>
          <w:rFonts w:eastAsia="Calibri" w:cs="Times New Roman"/>
          <w:bCs/>
          <w:szCs w:val="28"/>
          <w:lang w:eastAsia="vi-VN"/>
        </w:rPr>
        <w:t>tham gia đấu giá</w:t>
      </w:r>
      <w:r w:rsidR="00B663C4" w:rsidRPr="00F22575">
        <w:rPr>
          <w:rFonts w:eastAsia="Calibri" w:cs="Times New Roman"/>
          <w:bCs/>
          <w:szCs w:val="28"/>
          <w:lang w:eastAsia="vi-VN"/>
        </w:rPr>
        <w:t xml:space="preserve"> cơ sở nhà đất cũ của Sở Xây dựng và </w:t>
      </w:r>
      <w:r w:rsidR="00607034" w:rsidRPr="00F22575">
        <w:rPr>
          <w:rFonts w:eastAsia="Calibri" w:cs="Times New Roman"/>
          <w:bCs/>
          <w:szCs w:val="28"/>
          <w:lang w:eastAsia="vi-VN"/>
        </w:rPr>
        <w:t>C</w:t>
      </w:r>
      <w:r w:rsidR="00B663C4" w:rsidRPr="00F22575">
        <w:rPr>
          <w:rFonts w:eastAsia="Calibri" w:cs="Times New Roman"/>
          <w:bCs/>
          <w:szCs w:val="28"/>
          <w:lang w:eastAsia="vi-VN"/>
        </w:rPr>
        <w:t xml:space="preserve">ông ty </w:t>
      </w:r>
      <w:r w:rsidR="00894A15" w:rsidRPr="00F22575">
        <w:rPr>
          <w:rFonts w:eastAsia="Calibri" w:cs="Times New Roman"/>
          <w:bCs/>
          <w:szCs w:val="28"/>
          <w:lang w:eastAsia="vi-VN"/>
        </w:rPr>
        <w:t>cổ phần tư vấn xây dựng giao thông Kon Tum</w:t>
      </w:r>
      <w:r w:rsidR="00940FB6" w:rsidRPr="00F22575">
        <w:rPr>
          <w:rFonts w:eastAsia="Calibri" w:cs="Times New Roman"/>
          <w:bCs/>
          <w:szCs w:val="28"/>
          <w:lang w:eastAsia="vi-VN"/>
        </w:rPr>
        <w:t xml:space="preserve">… </w:t>
      </w:r>
    </w:p>
    <w:p w14:paraId="47A1C0BA" w14:textId="2CA646EE" w:rsidR="00940FB6" w:rsidRPr="00F22575" w:rsidRDefault="00CC7EB8" w:rsidP="00F7361A">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bCs/>
          <w:iCs/>
          <w:szCs w:val="28"/>
          <w:lang w:val="pt-BR"/>
        </w:rPr>
      </w:pPr>
      <w:r w:rsidRPr="00F22575">
        <w:rPr>
          <w:bCs/>
          <w:iCs/>
          <w:szCs w:val="28"/>
          <w:lang w:val="pt-BR"/>
        </w:rPr>
        <w:t xml:space="preserve">Để đạt dự toán Hội đồng nhân dân tỉnh giao đầu năm 2024 </w:t>
      </w:r>
      <w:r w:rsidR="007C03A7" w:rsidRPr="00F22575">
        <w:rPr>
          <w:b/>
          <w:iCs/>
          <w:szCs w:val="28"/>
          <w:lang w:val="pt-BR"/>
        </w:rPr>
        <w:t>(4.600 tỷ</w:t>
      </w:r>
      <w:r w:rsidR="00906532" w:rsidRPr="00F22575">
        <w:rPr>
          <w:b/>
          <w:iCs/>
          <w:szCs w:val="28"/>
          <w:lang w:val="pt-BR"/>
        </w:rPr>
        <w:t xml:space="preserve"> đồng</w:t>
      </w:r>
      <w:r w:rsidR="007C03A7" w:rsidRPr="00F22575">
        <w:rPr>
          <w:b/>
          <w:iCs/>
          <w:szCs w:val="28"/>
          <w:lang w:val="pt-BR"/>
        </w:rPr>
        <w:t>)</w:t>
      </w:r>
      <w:r w:rsidR="007C03A7" w:rsidRPr="00F22575">
        <w:rPr>
          <w:bCs/>
          <w:iCs/>
          <w:szCs w:val="28"/>
          <w:lang w:val="pt-BR"/>
        </w:rPr>
        <w:t xml:space="preserve"> </w:t>
      </w:r>
      <w:r w:rsidRPr="00F22575">
        <w:rPr>
          <w:bCs/>
          <w:iCs/>
          <w:szCs w:val="28"/>
          <w:lang w:val="pt-BR"/>
        </w:rPr>
        <w:t xml:space="preserve">thì trong 6 tháng cuối năm phải thu </w:t>
      </w:r>
      <w:r w:rsidRPr="00F22575">
        <w:rPr>
          <w:b/>
          <w:iCs/>
          <w:szCs w:val="28"/>
          <w:lang w:val="pt-BR"/>
        </w:rPr>
        <w:t>3.01</w:t>
      </w:r>
      <w:r w:rsidR="00D9789E" w:rsidRPr="00F22575">
        <w:rPr>
          <w:b/>
          <w:iCs/>
          <w:szCs w:val="28"/>
          <w:lang w:val="pt-BR"/>
        </w:rPr>
        <w:t>2</w:t>
      </w:r>
      <w:r w:rsidRPr="00F22575">
        <w:rPr>
          <w:b/>
          <w:iCs/>
          <w:szCs w:val="28"/>
          <w:lang w:val="pt-BR"/>
        </w:rPr>
        <w:t xml:space="preserve"> tỷ đồng</w:t>
      </w:r>
      <w:r w:rsidR="006F07B6" w:rsidRPr="00F22575">
        <w:rPr>
          <w:rStyle w:val="FootnoteReference"/>
          <w:b/>
          <w:iCs/>
          <w:szCs w:val="28"/>
          <w:lang w:val="pt-BR"/>
        </w:rPr>
        <w:footnoteReference w:id="7"/>
      </w:r>
      <w:r w:rsidRPr="00F22575">
        <w:rPr>
          <w:bCs/>
          <w:iCs/>
          <w:szCs w:val="28"/>
          <w:lang w:val="pt-BR"/>
        </w:rPr>
        <w:t xml:space="preserve">, </w:t>
      </w:r>
      <w:r w:rsidR="000D44C9" w:rsidRPr="00F22575">
        <w:rPr>
          <w:bCs/>
          <w:iCs/>
          <w:szCs w:val="28"/>
          <w:lang w:val="pt-BR"/>
        </w:rPr>
        <w:t xml:space="preserve"> </w:t>
      </w:r>
      <w:r w:rsidR="007C03A7" w:rsidRPr="00F22575">
        <w:rPr>
          <w:bCs/>
          <w:iCs/>
          <w:szCs w:val="28"/>
          <w:lang w:val="pt-BR"/>
        </w:rPr>
        <w:t>tập trung</w:t>
      </w:r>
      <w:r w:rsidR="0061112A" w:rsidRPr="00F22575">
        <w:rPr>
          <w:bCs/>
          <w:iCs/>
          <w:szCs w:val="28"/>
          <w:lang w:val="pt-BR"/>
        </w:rPr>
        <w:t xml:space="preserve"> </w:t>
      </w:r>
      <w:r w:rsidR="00906532" w:rsidRPr="00F22575">
        <w:rPr>
          <w:bCs/>
          <w:iCs/>
          <w:szCs w:val="28"/>
          <w:lang w:val="pt-BR"/>
        </w:rPr>
        <w:t xml:space="preserve"> </w:t>
      </w:r>
      <w:r w:rsidRPr="00F22575">
        <w:rPr>
          <w:bCs/>
          <w:iCs/>
          <w:szCs w:val="28"/>
          <w:lang w:val="pt-BR"/>
        </w:rPr>
        <w:t xml:space="preserve">phấn đấu thu </w:t>
      </w:r>
      <w:r w:rsidR="00906532" w:rsidRPr="00F22575">
        <w:rPr>
          <w:bCs/>
          <w:iCs/>
          <w:szCs w:val="28"/>
          <w:lang w:val="pt-BR"/>
        </w:rPr>
        <w:t>c</w:t>
      </w:r>
      <w:r w:rsidR="000D44C9" w:rsidRPr="00F22575">
        <w:rPr>
          <w:bCs/>
          <w:iCs/>
          <w:szCs w:val="28"/>
          <w:lang w:val="pt-BR"/>
        </w:rPr>
        <w:t>a</w:t>
      </w:r>
      <w:r w:rsidR="00906532" w:rsidRPr="00F22575">
        <w:rPr>
          <w:bCs/>
          <w:iCs/>
          <w:szCs w:val="28"/>
          <w:lang w:val="pt-BR"/>
        </w:rPr>
        <w:t xml:space="preserve">o nhất </w:t>
      </w:r>
      <w:r w:rsidRPr="00F22575">
        <w:rPr>
          <w:bCs/>
          <w:iCs/>
          <w:szCs w:val="28"/>
          <w:lang w:val="pt-BR"/>
        </w:rPr>
        <w:t>theo các lĩnh vực như sau:</w:t>
      </w:r>
    </w:p>
    <w:p w14:paraId="1C649BFF" w14:textId="739F47ED" w:rsidR="00CC7EB8" w:rsidRPr="00F22575" w:rsidRDefault="0061112A" w:rsidP="00F7361A">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bCs/>
          <w:iCs/>
          <w:szCs w:val="28"/>
          <w:lang w:val="pt-BR"/>
        </w:rPr>
      </w:pPr>
      <w:r w:rsidRPr="00F22575">
        <w:rPr>
          <w:bCs/>
          <w:iCs/>
          <w:szCs w:val="28"/>
          <w:lang w:val="pt-BR"/>
        </w:rPr>
        <w:t>-</w:t>
      </w:r>
      <w:r w:rsidR="00CC7EB8" w:rsidRPr="00F22575">
        <w:rPr>
          <w:bCs/>
          <w:iCs/>
          <w:szCs w:val="28"/>
          <w:lang w:val="pt-BR"/>
        </w:rPr>
        <w:t xml:space="preserve"> </w:t>
      </w:r>
      <w:r w:rsidR="00CC7EB8" w:rsidRPr="00F22575">
        <w:rPr>
          <w:rFonts w:eastAsia="Times New Roman" w:cs="Times New Roman"/>
          <w:szCs w:val="28"/>
          <w:lang w:val="vi-VN"/>
        </w:rPr>
        <w:t xml:space="preserve">Thu tiền sử dụng đất </w:t>
      </w:r>
      <w:r w:rsidR="00CC7EB8" w:rsidRPr="00F22575">
        <w:rPr>
          <w:rFonts w:eastAsia="Times New Roman" w:cs="Times New Roman"/>
          <w:szCs w:val="28"/>
          <w:lang w:val="nl-NL"/>
        </w:rPr>
        <w:t>(theo dự toán trung ương giao), chủ yếu</w:t>
      </w:r>
      <w:r w:rsidR="00CC7EB8" w:rsidRPr="00F22575">
        <w:rPr>
          <w:bCs/>
          <w:szCs w:val="28"/>
        </w:rPr>
        <w:t xml:space="preserve"> số thu từ chuyển mục đích sử dụng đất, công nhận quyền sử dụng đất trong dân</w:t>
      </w:r>
      <w:r w:rsidR="00894A15" w:rsidRPr="00F22575">
        <w:rPr>
          <w:bCs/>
          <w:szCs w:val="28"/>
        </w:rPr>
        <w:t xml:space="preserve"> tại các huyện, thành phố</w:t>
      </w:r>
      <w:r w:rsidR="00CC7EB8" w:rsidRPr="00F22575">
        <w:rPr>
          <w:bCs/>
          <w:szCs w:val="28"/>
        </w:rPr>
        <w:t xml:space="preserve">…khoảng </w:t>
      </w:r>
      <w:r w:rsidR="00CC7EB8" w:rsidRPr="00F22575">
        <w:rPr>
          <w:b/>
          <w:szCs w:val="28"/>
        </w:rPr>
        <w:t>25</w:t>
      </w:r>
      <w:r w:rsidR="001C017E" w:rsidRPr="00F22575">
        <w:rPr>
          <w:b/>
          <w:szCs w:val="28"/>
        </w:rPr>
        <w:t>5</w:t>
      </w:r>
      <w:r w:rsidR="00CC7EB8" w:rsidRPr="00F22575">
        <w:rPr>
          <w:b/>
          <w:szCs w:val="28"/>
        </w:rPr>
        <w:t xml:space="preserve"> tỷ đồng</w:t>
      </w:r>
      <w:r w:rsidR="00CC7EB8" w:rsidRPr="00F22575">
        <w:rPr>
          <w:bCs/>
          <w:szCs w:val="28"/>
        </w:rPr>
        <w:t xml:space="preserve"> (ước thực hiện cả năm</w:t>
      </w:r>
      <w:r w:rsidR="00906532" w:rsidRPr="00F22575">
        <w:rPr>
          <w:bCs/>
          <w:szCs w:val="28"/>
        </w:rPr>
        <w:t xml:space="preserve"> </w:t>
      </w:r>
      <w:r w:rsidR="00894A15" w:rsidRPr="00F22575">
        <w:rPr>
          <w:bCs/>
          <w:szCs w:val="28"/>
        </w:rPr>
        <w:t xml:space="preserve">400 tỷ đồng, </w:t>
      </w:r>
      <w:r w:rsidR="00CC7EB8" w:rsidRPr="00F22575">
        <w:rPr>
          <w:bCs/>
          <w:szCs w:val="28"/>
        </w:rPr>
        <w:t>đạt 100% dự toán)</w:t>
      </w:r>
    </w:p>
    <w:p w14:paraId="59CD0E9B" w14:textId="096EAB1F" w:rsidR="00641FF8" w:rsidRPr="00F22575" w:rsidRDefault="0061112A" w:rsidP="00641FF8">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bCs/>
          <w:szCs w:val="28"/>
        </w:rPr>
      </w:pPr>
      <w:r w:rsidRPr="00F22575">
        <w:rPr>
          <w:bCs/>
          <w:iCs/>
          <w:szCs w:val="28"/>
          <w:lang w:val="pt-BR"/>
        </w:rPr>
        <w:t>-</w:t>
      </w:r>
      <w:r w:rsidR="00CC7EB8" w:rsidRPr="00F22575">
        <w:rPr>
          <w:bCs/>
          <w:iCs/>
          <w:szCs w:val="28"/>
          <w:lang w:val="pt-BR"/>
        </w:rPr>
        <w:t xml:space="preserve"> Thu từ các dự án khai thác quỹ đất </w:t>
      </w:r>
      <w:r w:rsidR="001C017E" w:rsidRPr="00F22575">
        <w:rPr>
          <w:bCs/>
          <w:iCs/>
          <w:szCs w:val="28"/>
          <w:lang w:val="pt-BR"/>
        </w:rPr>
        <w:t xml:space="preserve">giao tăng thu </w:t>
      </w:r>
      <w:r w:rsidR="00CC7EB8" w:rsidRPr="00F22575">
        <w:rPr>
          <w:bCs/>
          <w:iCs/>
          <w:szCs w:val="28"/>
          <w:lang w:val="pt-BR"/>
        </w:rPr>
        <w:t xml:space="preserve">so với dự toán Trung ương giao khoảng </w:t>
      </w:r>
      <w:r w:rsidR="00CC7EB8" w:rsidRPr="00F22575">
        <w:rPr>
          <w:b/>
          <w:iCs/>
          <w:szCs w:val="28"/>
          <w:lang w:val="pt-BR"/>
        </w:rPr>
        <w:t xml:space="preserve">1.000 </w:t>
      </w:r>
      <w:r w:rsidR="00641FF8" w:rsidRPr="00F22575">
        <w:rPr>
          <w:b/>
          <w:iCs/>
          <w:szCs w:val="28"/>
          <w:lang w:val="pt-BR"/>
        </w:rPr>
        <w:t>t</w:t>
      </w:r>
      <w:r w:rsidR="00CC7EB8" w:rsidRPr="00F22575">
        <w:rPr>
          <w:b/>
          <w:iCs/>
          <w:szCs w:val="28"/>
          <w:lang w:val="pt-BR"/>
        </w:rPr>
        <w:t>ỷ đồng</w:t>
      </w:r>
      <w:r w:rsidR="00641FF8" w:rsidRPr="00F22575">
        <w:rPr>
          <w:bCs/>
          <w:iCs/>
          <w:szCs w:val="28"/>
          <w:lang w:val="pt-BR"/>
        </w:rPr>
        <w:t xml:space="preserve"> (</w:t>
      </w:r>
      <w:r w:rsidR="00641FF8" w:rsidRPr="00F22575">
        <w:rPr>
          <w:bCs/>
          <w:szCs w:val="28"/>
        </w:rPr>
        <w:t>ước thực hiện cả năm đạt  khoảng 75% dự toán)</w:t>
      </w:r>
    </w:p>
    <w:p w14:paraId="7F1864C0" w14:textId="2B1E915B" w:rsidR="00A122BD" w:rsidRPr="00F22575" w:rsidRDefault="0061112A" w:rsidP="00A122BD">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bCs/>
          <w:szCs w:val="28"/>
        </w:rPr>
      </w:pPr>
      <w:r w:rsidRPr="00F22575">
        <w:rPr>
          <w:bCs/>
          <w:iCs/>
          <w:szCs w:val="28"/>
          <w:lang w:val="pt-BR"/>
        </w:rPr>
        <w:lastRenderedPageBreak/>
        <w:t>-</w:t>
      </w:r>
      <w:r w:rsidR="00641FF8" w:rsidRPr="00F22575">
        <w:rPr>
          <w:bCs/>
          <w:iCs/>
          <w:szCs w:val="28"/>
          <w:lang w:val="pt-BR"/>
        </w:rPr>
        <w:t xml:space="preserve"> Các khoản thu thuế, phí, lệ phí </w:t>
      </w:r>
      <w:r w:rsidR="00641FF8" w:rsidRPr="00F22575">
        <w:rPr>
          <w:b/>
          <w:iCs/>
          <w:szCs w:val="28"/>
          <w:lang w:val="pt-BR"/>
        </w:rPr>
        <w:t>1.7</w:t>
      </w:r>
      <w:r w:rsidR="001C017E" w:rsidRPr="00F22575">
        <w:rPr>
          <w:b/>
          <w:iCs/>
          <w:szCs w:val="28"/>
          <w:lang w:val="pt-BR"/>
        </w:rPr>
        <w:t>5</w:t>
      </w:r>
      <w:r w:rsidR="00D9789E" w:rsidRPr="00F22575">
        <w:rPr>
          <w:b/>
          <w:iCs/>
          <w:szCs w:val="28"/>
          <w:lang w:val="pt-BR"/>
        </w:rPr>
        <w:t>7</w:t>
      </w:r>
      <w:r w:rsidR="00641FF8" w:rsidRPr="00F22575">
        <w:rPr>
          <w:b/>
          <w:iCs/>
          <w:szCs w:val="28"/>
          <w:lang w:val="pt-BR"/>
        </w:rPr>
        <w:t xml:space="preserve"> tỷ đồng</w:t>
      </w:r>
      <w:r w:rsidR="00FE2A28" w:rsidRPr="00F22575">
        <w:rPr>
          <w:rStyle w:val="FootnoteReference"/>
          <w:bCs/>
          <w:iCs/>
          <w:szCs w:val="28"/>
          <w:lang w:val="pt-BR"/>
        </w:rPr>
        <w:footnoteReference w:id="8"/>
      </w:r>
      <w:r w:rsidR="001C017E" w:rsidRPr="00F22575">
        <w:rPr>
          <w:bCs/>
          <w:iCs/>
          <w:szCs w:val="28"/>
          <w:lang w:val="pt-BR"/>
        </w:rPr>
        <w:t xml:space="preserve">, </w:t>
      </w:r>
      <w:r w:rsidR="00A122BD" w:rsidRPr="00F22575">
        <w:rPr>
          <w:bCs/>
          <w:szCs w:val="28"/>
        </w:rPr>
        <w:t>ước thực hiện cả năm tăng thu  khoảng</w:t>
      </w:r>
      <w:r w:rsidR="001C017E" w:rsidRPr="00F22575">
        <w:rPr>
          <w:bCs/>
          <w:szCs w:val="28"/>
        </w:rPr>
        <w:t xml:space="preserve"> </w:t>
      </w:r>
      <w:r w:rsidR="001C017E" w:rsidRPr="00F22575">
        <w:rPr>
          <w:b/>
          <w:szCs w:val="28"/>
        </w:rPr>
        <w:t>1</w:t>
      </w:r>
      <w:r w:rsidR="00773ABD" w:rsidRPr="00F22575">
        <w:rPr>
          <w:b/>
          <w:szCs w:val="28"/>
        </w:rPr>
        <w:t>2</w:t>
      </w:r>
      <w:r w:rsidR="00A122BD" w:rsidRPr="00F22575">
        <w:rPr>
          <w:b/>
          <w:szCs w:val="28"/>
        </w:rPr>
        <w:t xml:space="preserve"> % dự toán</w:t>
      </w:r>
      <w:r w:rsidR="001C017E" w:rsidRPr="00F22575">
        <w:rPr>
          <w:rStyle w:val="FootnoteReference"/>
          <w:bCs/>
          <w:szCs w:val="28"/>
        </w:rPr>
        <w:footnoteReference w:id="9"/>
      </w:r>
      <w:r w:rsidR="00906532" w:rsidRPr="00F22575">
        <w:rPr>
          <w:b/>
          <w:szCs w:val="28"/>
        </w:rPr>
        <w:t xml:space="preserve"> (tăng thêm khoảng 3</w:t>
      </w:r>
      <w:r w:rsidR="00FE2A28" w:rsidRPr="00F22575">
        <w:rPr>
          <w:b/>
          <w:szCs w:val="28"/>
        </w:rPr>
        <w:t>4</w:t>
      </w:r>
      <w:r w:rsidR="00041243" w:rsidRPr="00F22575">
        <w:rPr>
          <w:b/>
          <w:szCs w:val="28"/>
        </w:rPr>
        <w:t>6</w:t>
      </w:r>
      <w:r w:rsidR="00906532" w:rsidRPr="00F22575">
        <w:rPr>
          <w:b/>
          <w:szCs w:val="28"/>
        </w:rPr>
        <w:t xml:space="preserve"> tỷ đồng</w:t>
      </w:r>
      <w:r w:rsidR="00A6179E" w:rsidRPr="00F22575">
        <w:rPr>
          <w:b/>
          <w:szCs w:val="28"/>
        </w:rPr>
        <w:t xml:space="preserve"> so dự toán</w:t>
      </w:r>
      <w:r w:rsidR="00906532" w:rsidRPr="00F22575">
        <w:rPr>
          <w:b/>
          <w:szCs w:val="28"/>
        </w:rPr>
        <w:t>)</w:t>
      </w:r>
      <w:r w:rsidR="00B93404" w:rsidRPr="00F22575">
        <w:rPr>
          <w:bCs/>
          <w:szCs w:val="28"/>
        </w:rPr>
        <w:t xml:space="preserve"> nhằm bù đắp khoảng hụt thu c</w:t>
      </w:r>
      <w:r w:rsidR="00B93404" w:rsidRPr="00F22575">
        <w:rPr>
          <w:bCs/>
          <w:iCs/>
          <w:szCs w:val="28"/>
          <w:lang w:val="pt-BR"/>
        </w:rPr>
        <w:t>ác dự án khai thác quỹ đất HĐND tỉnh giao tăng thu</w:t>
      </w:r>
    </w:p>
    <w:p w14:paraId="1242ABBB" w14:textId="77777777" w:rsidR="00AD400C" w:rsidRPr="00F22575" w:rsidRDefault="00B93404" w:rsidP="00AD400C">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rFonts w:eastAsia="Times New Roman" w:cs="Times New Roman"/>
          <w:b/>
          <w:bCs/>
          <w:szCs w:val="28"/>
        </w:rPr>
      </w:pPr>
      <w:r w:rsidRPr="00F22575">
        <w:rPr>
          <w:rFonts w:eastAsia="Times New Roman" w:cs="Times New Roman"/>
          <w:b/>
          <w:bCs/>
          <w:szCs w:val="28"/>
        </w:rPr>
        <w:t>Nhiệm vụ, giải pháp cần tập trung trong 6 tháng cuối năm</w:t>
      </w:r>
      <w:r w:rsidR="00906532" w:rsidRPr="00F22575">
        <w:rPr>
          <w:rFonts w:eastAsia="Times New Roman" w:cs="Times New Roman"/>
          <w:b/>
          <w:bCs/>
          <w:szCs w:val="28"/>
        </w:rPr>
        <w:t xml:space="preserve"> 2024</w:t>
      </w:r>
    </w:p>
    <w:p w14:paraId="77DAF8CD" w14:textId="77777777" w:rsidR="00AD400C" w:rsidRPr="00F22575" w:rsidRDefault="007E6D26" w:rsidP="00AD400C">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szCs w:val="28"/>
        </w:rPr>
      </w:pPr>
      <w:r w:rsidRPr="00F22575">
        <w:rPr>
          <w:b/>
          <w:bCs/>
          <w:szCs w:val="28"/>
        </w:rPr>
        <w:t>I.</w:t>
      </w:r>
      <w:r w:rsidRPr="00F22575">
        <w:rPr>
          <w:szCs w:val="28"/>
        </w:rPr>
        <w:t xml:space="preserve"> </w:t>
      </w:r>
      <w:r w:rsidRPr="00F22575">
        <w:rPr>
          <w:b/>
          <w:bCs/>
          <w:szCs w:val="28"/>
        </w:rPr>
        <w:t>Đối với nhóm thu thuế, phí, lệ phí</w:t>
      </w:r>
      <w:r w:rsidRPr="00F22575">
        <w:rPr>
          <w:szCs w:val="28"/>
        </w:rPr>
        <w:t xml:space="preserve"> (</w:t>
      </w:r>
      <w:r w:rsidRPr="00F22575">
        <w:rPr>
          <w:i/>
          <w:iCs/>
          <w:szCs w:val="28"/>
        </w:rPr>
        <w:t>đây là nhóm thu ổn định và có tăng trưởng hàng năm để cân đối chi lương, chi hoạt động thường xuyên của chính quyền các cấp từ tỉnh đến xã, phường, thị trấn</w:t>
      </w:r>
      <w:r w:rsidRPr="00F22575">
        <w:rPr>
          <w:szCs w:val="28"/>
        </w:rPr>
        <w:t>):</w:t>
      </w:r>
    </w:p>
    <w:p w14:paraId="7DCD06F0" w14:textId="56939C12" w:rsidR="00AD400C" w:rsidRPr="00F22575" w:rsidRDefault="007E6D26" w:rsidP="00AD400C">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spacing w:val="-6"/>
          <w:szCs w:val="28"/>
        </w:rPr>
      </w:pPr>
      <w:r w:rsidRPr="00F22575">
        <w:rPr>
          <w:b/>
          <w:bCs/>
          <w:szCs w:val="28"/>
          <w:lang w:val="da-DK"/>
        </w:rPr>
        <w:t>1.</w:t>
      </w:r>
      <w:r w:rsidRPr="00F22575">
        <w:rPr>
          <w:szCs w:val="28"/>
          <w:lang w:val="da-DK"/>
        </w:rPr>
        <w:t xml:space="preserve"> Tham mưu cho Ban chỉ đạo chống thất thu và đôn đốc thu hồi nợ đọng NSNN triển khai quyết liệt, đồng bộ các giải pháp thu, theo dõi chặt chẽ tiến độ nguồn thu ngân sách, đánh giá, phân tích cụ thể từng địa bàn, từng khu vực, từng sắc thuế, </w:t>
      </w:r>
      <w:r w:rsidRPr="00F22575">
        <w:rPr>
          <w:spacing w:val="-6"/>
          <w:szCs w:val="28"/>
          <w:lang w:val="am-ET"/>
        </w:rPr>
        <w:t>tổng hợp báo cáo kịp thời kết quả thu</w:t>
      </w:r>
      <w:r w:rsidRPr="00F22575">
        <w:rPr>
          <w:spacing w:val="-6"/>
          <w:szCs w:val="28"/>
        </w:rPr>
        <w:t>. Qua đó, xác định các nguồn thu còn tiềm năng, các lĩnh vực thuế còn thất thu để kịp thời chỉ đạo ngành thuế phối hợp với các ngành và chính quyền các cấp để tăng cường quản lý thu,  nhất là các khoản nợ thuế của năm 2023 còn tồn đọng (nếu cần thiết thì phải triển khai các giải pháp mạnh)</w:t>
      </w:r>
      <w:r w:rsidR="00DE4A1B" w:rsidRPr="00F22575">
        <w:rPr>
          <w:spacing w:val="-6"/>
          <w:szCs w:val="28"/>
        </w:rPr>
        <w:t>;</w:t>
      </w:r>
    </w:p>
    <w:p w14:paraId="72E4461C" w14:textId="77D74AF5" w:rsidR="00AD400C" w:rsidRPr="00F22575" w:rsidRDefault="00AD400C" w:rsidP="00AD400C">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szCs w:val="28"/>
        </w:rPr>
      </w:pPr>
      <w:r w:rsidRPr="00F22575">
        <w:rPr>
          <w:b/>
          <w:bCs/>
          <w:szCs w:val="28"/>
        </w:rPr>
        <w:t>2</w:t>
      </w:r>
      <w:r w:rsidR="007E6D26" w:rsidRPr="00F22575">
        <w:rPr>
          <w:b/>
          <w:bCs/>
          <w:szCs w:val="28"/>
        </w:rPr>
        <w:t xml:space="preserve">. </w:t>
      </w:r>
      <w:r w:rsidR="007E6D26" w:rsidRPr="00F22575">
        <w:rPr>
          <w:szCs w:val="28"/>
        </w:rPr>
        <w:t>Tham mưu UBND tỉnh có văn bản vận động, khuyến khích các nhà đầu tư, các doanh nghiệp đầu tư trên địa bàn tỉnh ưu tiên sử dụng, tiêu thụ nguyên, nhiên vât liệu trên địa bàn tỉnh để đóng góp nghĩa vụ thuế nhằm tăng nguồn thu cho ngân sách tỉnh. Trong phạm vi, chức năng, nhiệm vụ, quyền hạn của Giám đốc Sở Tài chính sẽ quan tâm, tạo điều kiện thuận lợi nhất cho các nhà đầu tư đến đầu tư tại địa bàn tỉnh Kon Tum, qua đó sẽ tạo nguồn thu cho ngân sách tỉnh</w:t>
      </w:r>
      <w:r w:rsidR="00DE4A1B" w:rsidRPr="00F22575">
        <w:rPr>
          <w:szCs w:val="28"/>
        </w:rPr>
        <w:t>;</w:t>
      </w:r>
    </w:p>
    <w:p w14:paraId="28D4EC2A" w14:textId="1C050312" w:rsidR="007E6D26" w:rsidRPr="00F22575" w:rsidRDefault="00AD400C" w:rsidP="00AD400C">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szCs w:val="28"/>
        </w:rPr>
      </w:pPr>
      <w:r w:rsidRPr="00F22575">
        <w:rPr>
          <w:b/>
          <w:bCs/>
          <w:szCs w:val="28"/>
        </w:rPr>
        <w:t>3</w:t>
      </w:r>
      <w:r w:rsidR="007E6D26" w:rsidRPr="00F22575">
        <w:rPr>
          <w:b/>
          <w:bCs/>
          <w:szCs w:val="28"/>
        </w:rPr>
        <w:t>.</w:t>
      </w:r>
      <w:r w:rsidR="007E6D26" w:rsidRPr="00F22575">
        <w:rPr>
          <w:szCs w:val="28"/>
        </w:rPr>
        <w:t xml:space="preserve"> Theo dõi thường xuyên, kịp thời về tiến độ thu NSNN tại các huyện, TP để đôn đốc, nhắc nhỡ các phòng Tài chính-Kế hoạch huyện, TP trong công tác tham mưu cho cấp ủy, chính quyền địa phương từ cấp huyện, TP xuống cấp xã, phường, thị trấn trong công tác quản lý và khai thác triệt để các nguồn thu phát sinh tại địa bàn các huyện, TP</w:t>
      </w:r>
      <w:r w:rsidR="00DE4A1B" w:rsidRPr="00F22575">
        <w:rPr>
          <w:szCs w:val="28"/>
        </w:rPr>
        <w:t>;</w:t>
      </w:r>
    </w:p>
    <w:p w14:paraId="308173B8" w14:textId="7C59F327" w:rsidR="007E6D26" w:rsidRPr="00F22575" w:rsidRDefault="00AD400C" w:rsidP="007E6D26">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rFonts w:eastAsia="Times New Roman" w:cs="Times New Roman"/>
          <w:szCs w:val="28"/>
        </w:rPr>
      </w:pPr>
      <w:r w:rsidRPr="00F22575">
        <w:rPr>
          <w:rFonts w:eastAsia="Times New Roman" w:cs="Times New Roman"/>
          <w:b/>
          <w:bCs/>
          <w:szCs w:val="28"/>
        </w:rPr>
        <w:t>4.</w:t>
      </w:r>
      <w:r w:rsidR="007E6D26" w:rsidRPr="00F22575">
        <w:rPr>
          <w:rFonts w:eastAsia="Times New Roman" w:cs="Times New Roman"/>
          <w:szCs w:val="28"/>
        </w:rPr>
        <w:t xml:space="preserve"> Thường xuyên theo dõi, làm việc với các Công ty thủy điện để nắm bắt kế hoạch sản xuất kinh doanh và tình hình thu nộp ngân sách, đề nghị các Nhà máy thủy điện tăng cường hoạt động sản xuất thủy điện để hoàn thành dự toán được giao.</w:t>
      </w:r>
    </w:p>
    <w:p w14:paraId="2C9BD8E6" w14:textId="712FB341" w:rsidR="0061112A" w:rsidRPr="00F22575" w:rsidRDefault="00AD400C" w:rsidP="0061112A">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rFonts w:eastAsia="Times New Roman" w:cs="Times New Roman"/>
          <w:szCs w:val="28"/>
        </w:rPr>
      </w:pPr>
      <w:r w:rsidRPr="00F22575">
        <w:rPr>
          <w:rFonts w:eastAsia="Times New Roman" w:cs="Times New Roman"/>
          <w:b/>
          <w:bCs/>
          <w:szCs w:val="28"/>
        </w:rPr>
        <w:lastRenderedPageBreak/>
        <w:t>5.</w:t>
      </w:r>
      <w:r w:rsidR="007E6D26" w:rsidRPr="00F22575">
        <w:rPr>
          <w:rFonts w:eastAsia="Times New Roman" w:cs="Times New Roman"/>
          <w:szCs w:val="28"/>
        </w:rPr>
        <w:t xml:space="preserve"> </w:t>
      </w:r>
      <w:r w:rsidR="00DE4A1B" w:rsidRPr="00F22575">
        <w:rPr>
          <w:rFonts w:eastAsia="Times New Roman" w:cs="Times New Roman"/>
          <w:szCs w:val="28"/>
        </w:rPr>
        <w:t>Các ngành, các cấp t</w:t>
      </w:r>
      <w:r w:rsidR="007E6D26" w:rsidRPr="00F22575">
        <w:rPr>
          <w:rFonts w:eastAsia="Times New Roman" w:cs="Times New Roman"/>
          <w:szCs w:val="28"/>
        </w:rPr>
        <w:t>ăng cường và nâng cao chất lượng, hiệu quả của công tác thanh tra</w:t>
      </w:r>
      <w:r w:rsidRPr="00F22575">
        <w:rPr>
          <w:rFonts w:eastAsia="Times New Roman" w:cs="Times New Roman"/>
          <w:szCs w:val="28"/>
        </w:rPr>
        <w:t>,</w:t>
      </w:r>
      <w:r w:rsidR="007E6D26" w:rsidRPr="00F22575">
        <w:rPr>
          <w:rFonts w:eastAsia="Times New Roman" w:cs="Times New Roman"/>
          <w:szCs w:val="28"/>
        </w:rPr>
        <w:t xml:space="preserve"> kiểm tra, chống thất thu; thu hồi và xử lý kịp thời xác khoản phát hiện qua thanh tra, kiểm tra vào ngân sách nhà nước. </w:t>
      </w:r>
    </w:p>
    <w:p w14:paraId="162FD67E" w14:textId="4DFCB24F" w:rsidR="007E6D26" w:rsidRPr="00F22575" w:rsidRDefault="007E6D26" w:rsidP="0061112A">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b/>
          <w:bCs/>
          <w:szCs w:val="28"/>
        </w:rPr>
      </w:pPr>
      <w:r w:rsidRPr="00F22575">
        <w:rPr>
          <w:b/>
          <w:bCs/>
          <w:szCs w:val="28"/>
        </w:rPr>
        <w:t>II.</w:t>
      </w:r>
      <w:r w:rsidRPr="00F22575">
        <w:rPr>
          <w:szCs w:val="28"/>
        </w:rPr>
        <w:t xml:space="preserve"> </w:t>
      </w:r>
      <w:r w:rsidRPr="00F22575">
        <w:rPr>
          <w:b/>
          <w:bCs/>
          <w:szCs w:val="28"/>
        </w:rPr>
        <w:t xml:space="preserve">Đối với nhóm thu từ </w:t>
      </w:r>
      <w:r w:rsidR="00AD400C" w:rsidRPr="00F22575">
        <w:rPr>
          <w:b/>
          <w:bCs/>
          <w:szCs w:val="28"/>
        </w:rPr>
        <w:t xml:space="preserve">các dự án </w:t>
      </w:r>
      <w:r w:rsidRPr="00F22575">
        <w:rPr>
          <w:b/>
          <w:bCs/>
          <w:szCs w:val="28"/>
        </w:rPr>
        <w:t>khai thác quỹ đất và bán đấu giá tài sản là cơ sở nhà đất do cấp tỉnh quản lý triển khai:</w:t>
      </w:r>
    </w:p>
    <w:p w14:paraId="3100B2A9" w14:textId="373DE8BD" w:rsidR="00AD400C" w:rsidRPr="00F22575" w:rsidRDefault="00AD400C" w:rsidP="00AD400C">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szCs w:val="28"/>
        </w:rPr>
      </w:pPr>
      <w:r w:rsidRPr="00F22575">
        <w:rPr>
          <w:rFonts w:eastAsia="Times New Roman" w:cs="Times New Roman"/>
          <w:b/>
          <w:bCs/>
          <w:szCs w:val="28"/>
        </w:rPr>
        <w:t>1.</w:t>
      </w:r>
      <w:r w:rsidRPr="00F22575">
        <w:rPr>
          <w:rFonts w:eastAsia="Times New Roman" w:cs="Times New Roman"/>
          <w:szCs w:val="28"/>
        </w:rPr>
        <w:t xml:space="preserve"> Các sở, ban ngành và Ủy ban nhân dân các huyện, thành phố phối hợp tăng cường công tác quản lý đối với các khoản thu từ đất, đẩy nhanh tiến độ </w:t>
      </w:r>
      <w:r w:rsidR="009F1D1D" w:rsidRPr="00F22575">
        <w:rPr>
          <w:rFonts w:eastAsia="Times New Roman" w:cs="Times New Roman"/>
          <w:szCs w:val="28"/>
        </w:rPr>
        <w:t xml:space="preserve">lập thủ tục </w:t>
      </w:r>
      <w:r w:rsidRPr="00F22575">
        <w:rPr>
          <w:rFonts w:eastAsia="Times New Roman" w:cs="Times New Roman"/>
          <w:szCs w:val="28"/>
        </w:rPr>
        <w:t>tổ chức bán đấu giá quyền sử dụng đất, các dự án khai thác quỹ đất.</w:t>
      </w:r>
      <w:r w:rsidR="007E6D26" w:rsidRPr="00F22575">
        <w:rPr>
          <w:szCs w:val="28"/>
        </w:rPr>
        <w:t xml:space="preserve"> Chỉ đạo bộ phân chuyên môn của Sở Tài chính phối hợp, hỗ trợ các thủ tục có liên quan đến lập hồ sơ, thẩm định, phê duyệt giá khởi điểm đấu giá quyền sử dụng đất của các huyện, TP một cách nhanh nhất, tạo điều kiện thuận lợi trong phạm vi quyền hạn của Sở Tài chính</w:t>
      </w:r>
      <w:r w:rsidR="00DE4A1B" w:rsidRPr="00F22575">
        <w:rPr>
          <w:szCs w:val="28"/>
        </w:rPr>
        <w:t>;</w:t>
      </w:r>
    </w:p>
    <w:p w14:paraId="3FABC363" w14:textId="4229BC8B" w:rsidR="00AD400C" w:rsidRPr="00F22575" w:rsidRDefault="009F1D1D" w:rsidP="00AD400C">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szCs w:val="28"/>
        </w:rPr>
      </w:pPr>
      <w:r w:rsidRPr="00F22575">
        <w:rPr>
          <w:b/>
          <w:bCs/>
          <w:szCs w:val="28"/>
        </w:rPr>
        <w:t>2</w:t>
      </w:r>
      <w:r w:rsidR="007E6D26" w:rsidRPr="00F22575">
        <w:rPr>
          <w:b/>
          <w:bCs/>
          <w:szCs w:val="28"/>
        </w:rPr>
        <w:t>.</w:t>
      </w:r>
      <w:r w:rsidR="007E6D26" w:rsidRPr="00F22575">
        <w:rPr>
          <w:szCs w:val="28"/>
        </w:rPr>
        <w:t xml:space="preserve"> Đối với việc bán các cơ sở nhà đất do cấp tỉnh thực hiện theo kế hoạch (chủ yếu trên địa bàn TP Kon Tum), tham mưu UBND tỉnh chỉ đạo các Sở, ngành và địa phương có liên quan thực hiện hoàn thành các thủ tục, trình tự quy định của pháp luật</w:t>
      </w:r>
      <w:r w:rsidR="00AD400C" w:rsidRPr="00F22575">
        <w:rPr>
          <w:szCs w:val="28"/>
        </w:rPr>
        <w:t>;</w:t>
      </w:r>
      <w:r w:rsidR="007E6D26" w:rsidRPr="00F22575">
        <w:rPr>
          <w:szCs w:val="28"/>
        </w:rPr>
        <w:t xml:space="preserve"> </w:t>
      </w:r>
    </w:p>
    <w:p w14:paraId="5FA0DBAD" w14:textId="7AB7FE0F" w:rsidR="00AD400C" w:rsidRPr="00F22575" w:rsidRDefault="009F1D1D" w:rsidP="00AD400C">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i/>
          <w:iCs/>
          <w:szCs w:val="28"/>
        </w:rPr>
      </w:pPr>
      <w:r w:rsidRPr="00F22575">
        <w:rPr>
          <w:b/>
          <w:bCs/>
          <w:szCs w:val="28"/>
        </w:rPr>
        <w:t>3</w:t>
      </w:r>
      <w:r w:rsidR="007E6D26" w:rsidRPr="00F22575">
        <w:rPr>
          <w:b/>
          <w:bCs/>
          <w:szCs w:val="28"/>
        </w:rPr>
        <w:t>.</w:t>
      </w:r>
      <w:r w:rsidR="007E6D26" w:rsidRPr="00F22575">
        <w:rPr>
          <w:szCs w:val="28"/>
        </w:rPr>
        <w:t xml:space="preserve"> Sở Tài chính thường xuyên theo dõi tiến độ thực hiện bán từng cơ sở nhà đất, trong đó theo dõi cụ thể các mốc thời gian thực hiện như: </w:t>
      </w:r>
      <w:r w:rsidR="007E6D26" w:rsidRPr="00F22575">
        <w:rPr>
          <w:i/>
          <w:iCs/>
          <w:szCs w:val="28"/>
        </w:rPr>
        <w:t>lập, trình phê duyệt phương án đấu giá, quyết định đấu giá; phối hợp liên ngành thẩm định trình Ủy ban nhân dân tỉnh phê duyệt; thời gian thực hiện hợp đồng đấu giá, hoàn thành công tác đấu giá….</w:t>
      </w:r>
    </w:p>
    <w:p w14:paraId="556202CB" w14:textId="67453B22" w:rsidR="00AD400C" w:rsidRPr="00F22575" w:rsidRDefault="009F1D1D" w:rsidP="00AD400C">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szCs w:val="28"/>
        </w:rPr>
      </w:pPr>
      <w:r w:rsidRPr="00F22575">
        <w:rPr>
          <w:b/>
          <w:bCs/>
          <w:szCs w:val="28"/>
        </w:rPr>
        <w:t>4</w:t>
      </w:r>
      <w:r w:rsidR="007E6D26" w:rsidRPr="00F22575">
        <w:rPr>
          <w:b/>
          <w:bCs/>
          <w:szCs w:val="28"/>
        </w:rPr>
        <w:t>.</w:t>
      </w:r>
      <w:r w:rsidR="007E6D26" w:rsidRPr="00F22575">
        <w:rPr>
          <w:szCs w:val="28"/>
        </w:rPr>
        <w:t xml:space="preserve"> Sở Tài chính sẽ thường xuyên rà soát, theo dõi báo cáo Ủy ban nhân dân tỉnh chỉ đạo các sở, ngành liên quan phối hợp tháo gỡ kịp thời các khó khăn, vướng mắc phát sinh trong quá trình thực hiện.   </w:t>
      </w:r>
    </w:p>
    <w:p w14:paraId="432EFD7A" w14:textId="77777777" w:rsidR="009F1D1D" w:rsidRPr="00F22575" w:rsidRDefault="009F1D1D" w:rsidP="00AD400C">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szCs w:val="28"/>
        </w:rPr>
      </w:pPr>
      <w:r w:rsidRPr="00F22575">
        <w:rPr>
          <w:b/>
          <w:bCs/>
          <w:szCs w:val="28"/>
        </w:rPr>
        <w:t>5</w:t>
      </w:r>
      <w:r w:rsidR="0061112A" w:rsidRPr="00F22575">
        <w:rPr>
          <w:b/>
          <w:bCs/>
          <w:szCs w:val="28"/>
        </w:rPr>
        <w:t>.</w:t>
      </w:r>
      <w:r w:rsidR="0061112A" w:rsidRPr="00F22575">
        <w:rPr>
          <w:szCs w:val="28"/>
        </w:rPr>
        <w:t xml:space="preserve"> </w:t>
      </w:r>
      <w:r w:rsidR="007E6D26" w:rsidRPr="00F22575">
        <w:rPr>
          <w:szCs w:val="28"/>
        </w:rPr>
        <w:t>Đề nghị các đại biểu HĐND tỉnh là lãnh đạo các địa phương huyện, thành phố trong quá trình thực hiện nhiệm vụ thu ngân sách có liên quan đến ngành Tài chính, thì kịp thời phản ánh và cử công chức</w:t>
      </w:r>
      <w:r w:rsidR="00DE4A1B" w:rsidRPr="00F22575">
        <w:rPr>
          <w:szCs w:val="28"/>
        </w:rPr>
        <w:t xml:space="preserve"> </w:t>
      </w:r>
      <w:r w:rsidR="007E6D26" w:rsidRPr="00F22575">
        <w:rPr>
          <w:szCs w:val="28"/>
        </w:rPr>
        <w:t xml:space="preserve">có liên quan phối hợp và trao đổi trực tiếp với các phòng chuyên môn của Sở Tài chính để hướng dẫn và tháo gỡ </w:t>
      </w:r>
      <w:r w:rsidR="00DE4A1B" w:rsidRPr="00F22575">
        <w:rPr>
          <w:szCs w:val="28"/>
        </w:rPr>
        <w:t xml:space="preserve">kịp thời </w:t>
      </w:r>
      <w:r w:rsidRPr="00F22575">
        <w:rPr>
          <w:szCs w:val="28"/>
        </w:rPr>
        <w:t xml:space="preserve">khó khăn, vướng mắc </w:t>
      </w:r>
      <w:r w:rsidR="007E6D26" w:rsidRPr="00F22575">
        <w:rPr>
          <w:szCs w:val="28"/>
        </w:rPr>
        <w:t>(nếu có)</w:t>
      </w:r>
      <w:r w:rsidRPr="00F22575">
        <w:rPr>
          <w:szCs w:val="28"/>
        </w:rPr>
        <w:t>.</w:t>
      </w:r>
    </w:p>
    <w:p w14:paraId="26A6AADD" w14:textId="436B3414" w:rsidR="007E6D26" w:rsidRPr="00F22575" w:rsidRDefault="009F1D1D" w:rsidP="00AD400C">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ind w:firstLine="720"/>
        <w:jc w:val="both"/>
        <w:rPr>
          <w:szCs w:val="28"/>
        </w:rPr>
      </w:pPr>
      <w:r w:rsidRPr="00F22575">
        <w:rPr>
          <w:szCs w:val="28"/>
        </w:rPr>
        <w:t xml:space="preserve">Xin cám ơn Chủ tọa kỳ họp, </w:t>
      </w:r>
      <w:r w:rsidRPr="00F22575">
        <w:t>Đại biểu Nguyễn Xuân Khánh Tổ đại biểu HĐND tỉnh tại huyện Ia H'Đrai và toàn thể kỳ họp. Xin hết./.</w:t>
      </w:r>
    </w:p>
    <w:p w14:paraId="026B8918" w14:textId="77777777" w:rsidR="00940FB6" w:rsidRPr="00F22575" w:rsidRDefault="00940FB6" w:rsidP="00940FB6">
      <w:pPr>
        <w:widowControl w:val="0"/>
        <w:pBdr>
          <w:top w:val="dotted" w:sz="4" w:space="0" w:color="FFFFFF"/>
          <w:left w:val="dotted" w:sz="4" w:space="0" w:color="FFFFFF"/>
          <w:bottom w:val="dotted" w:sz="4" w:space="14" w:color="FFFFFF"/>
          <w:right w:val="dotted" w:sz="4" w:space="1" w:color="FFFFFF"/>
        </w:pBdr>
        <w:shd w:val="clear" w:color="auto" w:fill="FFFFFF"/>
        <w:spacing w:before="120" w:after="0" w:line="240" w:lineRule="auto"/>
        <w:ind w:firstLine="709"/>
        <w:jc w:val="both"/>
        <w:rPr>
          <w:rFonts w:eastAsia="Times New Roman" w:cs="Times New Roman"/>
          <w:spacing w:val="-4"/>
          <w:szCs w:val="28"/>
          <w:lang w:val="am-ET" w:bidi="en-US"/>
        </w:rPr>
      </w:pPr>
    </w:p>
    <w:p w14:paraId="3C32ED78" w14:textId="77777777" w:rsidR="00701BBD" w:rsidRPr="00F22575" w:rsidRDefault="00701BBD" w:rsidP="00701BBD">
      <w:pPr>
        <w:spacing w:after="0" w:line="240" w:lineRule="auto"/>
        <w:ind w:firstLine="567"/>
        <w:rPr>
          <w:rFonts w:cs="Times New Roman"/>
          <w:b/>
          <w:bCs/>
          <w:szCs w:val="28"/>
        </w:rPr>
      </w:pPr>
    </w:p>
    <w:p w14:paraId="383D317F" w14:textId="77777777" w:rsidR="00701BBD" w:rsidRPr="00F22575" w:rsidRDefault="00701BBD" w:rsidP="00701BBD">
      <w:pPr>
        <w:spacing w:after="0" w:line="240" w:lineRule="auto"/>
        <w:ind w:firstLine="567"/>
        <w:rPr>
          <w:rFonts w:cs="Times New Roman"/>
          <w:b/>
          <w:bCs/>
          <w:szCs w:val="28"/>
        </w:rPr>
      </w:pPr>
    </w:p>
    <w:p w14:paraId="16A77003" w14:textId="77777777" w:rsidR="00701BBD" w:rsidRPr="00F22575" w:rsidRDefault="00701BBD" w:rsidP="00701BBD">
      <w:pPr>
        <w:spacing w:after="0" w:line="240" w:lineRule="auto"/>
        <w:ind w:firstLine="567"/>
        <w:rPr>
          <w:rFonts w:cs="Times New Roman"/>
          <w:b/>
          <w:bCs/>
          <w:szCs w:val="28"/>
        </w:rPr>
      </w:pPr>
    </w:p>
    <w:p w14:paraId="1C357B1E" w14:textId="77777777" w:rsidR="009D51D4" w:rsidRPr="00F22575" w:rsidRDefault="009D51D4">
      <w:pPr>
        <w:rPr>
          <w:szCs w:val="28"/>
        </w:rPr>
      </w:pPr>
    </w:p>
    <w:sectPr w:rsidR="009D51D4" w:rsidRPr="00F22575" w:rsidSect="00914A40">
      <w:footerReference w:type="default" r:id="rId7"/>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3A285" w14:textId="77777777" w:rsidR="008A3EB0" w:rsidRDefault="008A3EB0" w:rsidP="00701BBD">
      <w:pPr>
        <w:spacing w:after="0" w:line="240" w:lineRule="auto"/>
      </w:pPr>
      <w:r>
        <w:separator/>
      </w:r>
    </w:p>
  </w:endnote>
  <w:endnote w:type="continuationSeparator" w:id="0">
    <w:p w14:paraId="47D25A50" w14:textId="77777777" w:rsidR="008A3EB0" w:rsidRDefault="008A3EB0" w:rsidP="0070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678863"/>
      <w:docPartObj>
        <w:docPartGallery w:val="Page Numbers (Bottom of Page)"/>
        <w:docPartUnique/>
      </w:docPartObj>
    </w:sdtPr>
    <w:sdtEndPr>
      <w:rPr>
        <w:noProof/>
      </w:rPr>
    </w:sdtEndPr>
    <w:sdtContent>
      <w:p w14:paraId="7A36068A" w14:textId="6516EFB8" w:rsidR="00F22575" w:rsidRDefault="00F22575">
        <w:pPr>
          <w:pStyle w:val="Footer"/>
          <w:jc w:val="right"/>
        </w:pPr>
        <w:r>
          <w:fldChar w:fldCharType="begin"/>
        </w:r>
        <w:r>
          <w:instrText xml:space="preserve"> PAGE   \* MERGEFORMAT </w:instrText>
        </w:r>
        <w:r>
          <w:fldChar w:fldCharType="separate"/>
        </w:r>
        <w:r w:rsidR="00272DEB">
          <w:rPr>
            <w:noProof/>
          </w:rPr>
          <w:t>4</w:t>
        </w:r>
        <w:r>
          <w:rPr>
            <w:noProof/>
          </w:rPr>
          <w:fldChar w:fldCharType="end"/>
        </w:r>
      </w:p>
    </w:sdtContent>
  </w:sdt>
  <w:p w14:paraId="4DDF0CF9" w14:textId="77777777" w:rsidR="00F22575" w:rsidRDefault="00F225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BC70B" w14:textId="77777777" w:rsidR="008A3EB0" w:rsidRDefault="008A3EB0" w:rsidP="00701BBD">
      <w:pPr>
        <w:spacing w:after="0" w:line="240" w:lineRule="auto"/>
      </w:pPr>
      <w:r>
        <w:separator/>
      </w:r>
    </w:p>
  </w:footnote>
  <w:footnote w:type="continuationSeparator" w:id="0">
    <w:p w14:paraId="14746DC4" w14:textId="77777777" w:rsidR="008A3EB0" w:rsidRDefault="008A3EB0" w:rsidP="00701BBD">
      <w:pPr>
        <w:spacing w:after="0" w:line="240" w:lineRule="auto"/>
      </w:pPr>
      <w:r>
        <w:continuationSeparator/>
      </w:r>
    </w:p>
  </w:footnote>
  <w:footnote w:id="1">
    <w:p w14:paraId="42732016" w14:textId="77777777" w:rsidR="00701BBD" w:rsidRDefault="00701BBD" w:rsidP="00A6342F">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Số liệu được cập nhật chỉnh lý đến ngày 10/01/2024.</w:t>
      </w:r>
    </w:p>
  </w:footnote>
  <w:footnote w:id="2">
    <w:p w14:paraId="55A2C29C" w14:textId="77777777" w:rsidR="00701BBD" w:rsidRDefault="00701BBD" w:rsidP="00A6342F">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Hội đồng nhân dân tỉnh giao dự toán thu NSNN trên địa bàn: 4.600.000 triệu đồng.</w:t>
      </w:r>
    </w:p>
  </w:footnote>
  <w:footnote w:id="3">
    <w:p w14:paraId="6010B39C" w14:textId="77777777" w:rsidR="00701BBD" w:rsidRDefault="00701BBD" w:rsidP="00A6342F">
      <w:pPr>
        <w:pStyle w:val="FootnoteText"/>
        <w:jc w:val="both"/>
        <w:rPr>
          <w:rFonts w:ascii="Times New Roman" w:hAnsi="Times New Roman"/>
          <w:color w:val="FF0000"/>
        </w:rPr>
      </w:pPr>
      <w:r>
        <w:rPr>
          <w:rStyle w:val="FootnoteReference"/>
          <w:rFonts w:ascii="Times New Roman" w:hAnsi="Times New Roman"/>
        </w:rPr>
        <w:footnoteRef/>
      </w:r>
      <w:r>
        <w:rPr>
          <w:rFonts w:ascii="Times New Roman" w:hAnsi="Times New Roman"/>
        </w:rPr>
        <w:t xml:space="preserve"> Hiện nay, nguồn thu các dự án khai thác quỹ đất trên địa bàn tỉnh vẫn còn trầm lắng, chưa có dấu hiệu khởi sắc. Theo Báo cáo 05 tháng đầu năm chưa phát sinh số thu, ước 06 tháng: 103.000 triệu đồng.</w:t>
      </w:r>
    </w:p>
  </w:footnote>
  <w:footnote w:id="4">
    <w:p w14:paraId="089C3F5D" w14:textId="194F70EA" w:rsidR="00A6342F" w:rsidRPr="00F22575" w:rsidRDefault="00A6342F">
      <w:pPr>
        <w:pStyle w:val="FootnoteText"/>
        <w:rPr>
          <w:rFonts w:ascii="Times New Roman" w:hAnsi="Times New Roman"/>
          <w:lang w:val="en-US"/>
        </w:rPr>
      </w:pPr>
      <w:r w:rsidRPr="00F22575">
        <w:rPr>
          <w:rStyle w:val="FootnoteReference"/>
          <w:rFonts w:ascii="Times New Roman" w:hAnsi="Times New Roman"/>
        </w:rPr>
        <w:footnoteRef/>
      </w:r>
      <w:r w:rsidRPr="00F22575">
        <w:rPr>
          <w:rFonts w:ascii="Times New Roman" w:hAnsi="Times New Roman"/>
        </w:rPr>
        <w:t xml:space="preserve"> </w:t>
      </w:r>
      <w:r w:rsidRPr="00F22575">
        <w:rPr>
          <w:rFonts w:ascii="Times New Roman" w:eastAsia="Times New Roman" w:hAnsi="Times New Roman"/>
          <w:szCs w:val="28"/>
        </w:rPr>
        <w:t>đạt 50,</w:t>
      </w:r>
      <w:r w:rsidR="002C63BF" w:rsidRPr="00F22575">
        <w:rPr>
          <w:rFonts w:ascii="Times New Roman" w:eastAsia="Times New Roman" w:hAnsi="Times New Roman"/>
          <w:szCs w:val="28"/>
        </w:rPr>
        <w:t>6</w:t>
      </w:r>
      <w:r w:rsidRPr="00F22575">
        <w:rPr>
          <w:rFonts w:ascii="Times New Roman" w:eastAsia="Times New Roman" w:hAnsi="Times New Roman"/>
          <w:szCs w:val="28"/>
        </w:rPr>
        <w:t>% dự toán.</w:t>
      </w:r>
    </w:p>
  </w:footnote>
  <w:footnote w:id="5">
    <w:p w14:paraId="1B0A8204" w14:textId="2CDC1ABF" w:rsidR="000D44C9" w:rsidRPr="0061112A" w:rsidRDefault="000D44C9">
      <w:pPr>
        <w:pStyle w:val="FootnoteText"/>
        <w:rPr>
          <w:rFonts w:ascii="Times New Roman" w:hAnsi="Times New Roman"/>
          <w:lang w:val="en-US"/>
        </w:rPr>
      </w:pPr>
      <w:r w:rsidRPr="0061112A">
        <w:rPr>
          <w:rStyle w:val="FootnoteReference"/>
          <w:rFonts w:ascii="Times New Roman" w:hAnsi="Times New Roman"/>
        </w:rPr>
        <w:footnoteRef/>
      </w:r>
      <w:r w:rsidRPr="0061112A">
        <w:rPr>
          <w:rFonts w:ascii="Times New Roman" w:hAnsi="Times New Roman"/>
        </w:rPr>
        <w:t xml:space="preserve"> </w:t>
      </w:r>
      <w:r w:rsidRPr="0061112A">
        <w:rPr>
          <w:rFonts w:ascii="Times New Roman" w:eastAsia="Times New Roman" w:hAnsi="Times New Roman"/>
        </w:rPr>
        <w:t>Số t</w:t>
      </w:r>
      <w:r w:rsidRPr="0061112A">
        <w:rPr>
          <w:rFonts w:ascii="Times New Roman" w:eastAsia="Times New Roman" w:hAnsi="Times New Roman"/>
          <w:color w:val="000000"/>
          <w:lang w:val="vi-VN"/>
        </w:rPr>
        <w:t xml:space="preserve">hu tiền sử dụng đất </w:t>
      </w:r>
      <w:r w:rsidRPr="0061112A">
        <w:rPr>
          <w:rFonts w:ascii="Times New Roman" w:eastAsia="Times New Roman" w:hAnsi="Times New Roman"/>
          <w:color w:val="000000"/>
          <w:lang w:val="nl-NL"/>
        </w:rPr>
        <w:t>(theo dự toán trung ương giao 400 tỷ)</w:t>
      </w:r>
      <w:r w:rsidRPr="0061112A">
        <w:rPr>
          <w:rFonts w:ascii="Times New Roman" w:eastAsia="Times New Roman" w:hAnsi="Times New Roman"/>
          <w:color w:val="000000"/>
        </w:rPr>
        <w:t xml:space="preserve"> đạt thấp</w:t>
      </w:r>
      <w:r w:rsidRPr="0061112A">
        <w:rPr>
          <w:rFonts w:ascii="Times New Roman" w:eastAsia="Times New Roman" w:hAnsi="Times New Roman"/>
          <w:b/>
          <w:color w:val="000000"/>
          <w:lang w:val="vi-VN"/>
        </w:rPr>
        <w:t xml:space="preserve"> </w:t>
      </w:r>
      <w:r w:rsidRPr="0061112A">
        <w:rPr>
          <w:rFonts w:ascii="Times New Roman" w:eastAsia="Times New Roman" w:hAnsi="Times New Roman"/>
          <w:b/>
          <w:color w:val="000000"/>
        </w:rPr>
        <w:t>(36,3%</w:t>
      </w:r>
      <w:r w:rsidRPr="0061112A">
        <w:rPr>
          <w:rFonts w:ascii="Times New Roman" w:eastAsia="Times New Roman" w:hAnsi="Times New Roman"/>
          <w:b/>
          <w:color w:val="000000"/>
          <w:lang w:val="vi-VN"/>
        </w:rPr>
        <w:t xml:space="preserve"> dự toán</w:t>
      </w:r>
      <w:r w:rsidRPr="0061112A">
        <w:rPr>
          <w:rFonts w:ascii="Times New Roman" w:eastAsia="Times New Roman" w:hAnsi="Times New Roman"/>
          <w:b/>
          <w:color w:val="000000"/>
        </w:rPr>
        <w:t>)</w:t>
      </w:r>
      <w:r w:rsidRPr="0061112A">
        <w:rPr>
          <w:rFonts w:ascii="Times New Roman" w:eastAsia="Times New Roman" w:hAnsi="Times New Roman"/>
          <w:bCs/>
          <w:color w:val="000000"/>
        </w:rPr>
        <w:t xml:space="preserve">; </w:t>
      </w:r>
      <w:r w:rsidRPr="0061112A">
        <w:rPr>
          <w:rFonts w:ascii="Times New Roman" w:eastAsia="Times New Roman" w:hAnsi="Times New Roman"/>
        </w:rPr>
        <w:t xml:space="preserve">thu từ các dự án khai thác quỹ đất được Hội đồng nhân dân tỉnh giao tăng thu </w:t>
      </w:r>
      <w:r w:rsidRPr="0061112A">
        <w:rPr>
          <w:rFonts w:ascii="Times New Roman" w:hAnsi="Times New Roman"/>
        </w:rPr>
        <w:t>1.345,6 tỷ</w:t>
      </w:r>
      <w:r w:rsidRPr="0061112A">
        <w:rPr>
          <w:rFonts w:ascii="Times New Roman" w:eastAsia="Times New Roman" w:hAnsi="Times New Roman"/>
        </w:rPr>
        <w:t xml:space="preserve"> đến nay </w:t>
      </w:r>
      <w:r w:rsidRPr="0061112A">
        <w:rPr>
          <w:rFonts w:ascii="Times New Roman" w:eastAsia="Times New Roman" w:hAnsi="Times New Roman"/>
          <w:b/>
          <w:bCs/>
        </w:rPr>
        <w:t>chưa phát sinh số thu</w:t>
      </w:r>
      <w:r w:rsidRPr="0061112A">
        <w:rPr>
          <w:rFonts w:ascii="Times New Roman" w:eastAsia="Times New Roman" w:hAnsi="Times New Roman"/>
        </w:rPr>
        <w:t>.</w:t>
      </w:r>
    </w:p>
  </w:footnote>
  <w:footnote w:id="6">
    <w:p w14:paraId="0173FDFC" w14:textId="6D615B61" w:rsidR="00940FB6" w:rsidRPr="0061112A" w:rsidRDefault="00940FB6" w:rsidP="00B918F0">
      <w:pPr>
        <w:pStyle w:val="FootnoteText"/>
        <w:jc w:val="both"/>
        <w:rPr>
          <w:rFonts w:ascii="Times New Roman" w:hAnsi="Times New Roman"/>
        </w:rPr>
      </w:pPr>
      <w:r w:rsidRPr="0061112A">
        <w:rPr>
          <w:rStyle w:val="FootnoteReference"/>
          <w:rFonts w:ascii="Times New Roman" w:hAnsi="Times New Roman"/>
        </w:rPr>
        <w:footnoteRef/>
      </w:r>
      <w:r w:rsidRPr="0061112A">
        <w:rPr>
          <w:rFonts w:ascii="Times New Roman" w:hAnsi="Times New Roman"/>
        </w:rPr>
        <w:t xml:space="preserve"> Dự toán thu  đăng ký 232.173 </w:t>
      </w:r>
      <w:r w:rsidR="00E421DA" w:rsidRPr="0061112A">
        <w:rPr>
          <w:rFonts w:ascii="Times New Roman" w:hAnsi="Times New Roman"/>
        </w:rPr>
        <w:t>t</w:t>
      </w:r>
      <w:r w:rsidRPr="0061112A">
        <w:rPr>
          <w:rFonts w:ascii="Times New Roman" w:hAnsi="Times New Roman"/>
        </w:rPr>
        <w:t>riệu đồng</w:t>
      </w:r>
    </w:p>
  </w:footnote>
  <w:footnote w:id="7">
    <w:p w14:paraId="58244BCC" w14:textId="4C383319" w:rsidR="006F07B6" w:rsidRPr="0061112A" w:rsidRDefault="006F07B6">
      <w:pPr>
        <w:pStyle w:val="FootnoteText"/>
        <w:rPr>
          <w:rFonts w:ascii="Times New Roman" w:hAnsi="Times New Roman"/>
          <w:lang w:val="en-US"/>
        </w:rPr>
      </w:pPr>
      <w:r w:rsidRPr="0061112A">
        <w:rPr>
          <w:rStyle w:val="FootnoteReference"/>
          <w:rFonts w:ascii="Times New Roman" w:hAnsi="Times New Roman"/>
        </w:rPr>
        <w:footnoteRef/>
      </w:r>
      <w:r w:rsidRPr="0061112A">
        <w:rPr>
          <w:rFonts w:ascii="Times New Roman" w:hAnsi="Times New Roman"/>
        </w:rPr>
        <w:t xml:space="preserve"> (</w:t>
      </w:r>
      <w:r w:rsidRPr="0061112A">
        <w:rPr>
          <w:rFonts w:ascii="Times New Roman" w:hAnsi="Times New Roman"/>
          <w:lang w:val="en-US"/>
        </w:rPr>
        <w:t>4.600 tỷ – 1.58</w:t>
      </w:r>
      <w:r w:rsidR="00E35B40">
        <w:rPr>
          <w:rFonts w:ascii="Times New Roman" w:hAnsi="Times New Roman"/>
          <w:lang w:val="en-US"/>
        </w:rPr>
        <w:t>8</w:t>
      </w:r>
      <w:r w:rsidRPr="0061112A">
        <w:rPr>
          <w:rFonts w:ascii="Times New Roman" w:hAnsi="Times New Roman"/>
          <w:lang w:val="en-US"/>
        </w:rPr>
        <w:t xml:space="preserve">  tỷ = 3.01</w:t>
      </w:r>
      <w:r w:rsidR="00E35B40">
        <w:rPr>
          <w:rFonts w:ascii="Times New Roman" w:hAnsi="Times New Roman"/>
          <w:lang w:val="en-US"/>
        </w:rPr>
        <w:t>2</w:t>
      </w:r>
      <w:r w:rsidRPr="0061112A">
        <w:rPr>
          <w:rFonts w:ascii="Times New Roman" w:hAnsi="Times New Roman"/>
          <w:lang w:val="en-US"/>
        </w:rPr>
        <w:t xml:space="preserve"> tỷ)</w:t>
      </w:r>
    </w:p>
  </w:footnote>
  <w:footnote w:id="8">
    <w:p w14:paraId="5B7D5841" w14:textId="53AC2BFC" w:rsidR="00FE2A28" w:rsidRPr="0061112A" w:rsidRDefault="00FE2A28" w:rsidP="00FE2A28">
      <w:pPr>
        <w:pBdr>
          <w:top w:val="dotted" w:sz="4" w:space="0" w:color="FFFFFF"/>
          <w:left w:val="dotted" w:sz="4" w:space="0" w:color="FFFFFF"/>
          <w:bottom w:val="dotted" w:sz="4" w:space="19" w:color="FFFFFF"/>
          <w:right w:val="dotted" w:sz="4" w:space="0" w:color="FFFFFF"/>
        </w:pBdr>
        <w:shd w:val="clear" w:color="auto" w:fill="FFFFFF"/>
        <w:spacing w:before="120" w:after="0" w:line="240" w:lineRule="auto"/>
        <w:jc w:val="both"/>
      </w:pPr>
      <w:r w:rsidRPr="0061112A">
        <w:rPr>
          <w:rStyle w:val="FootnoteReference"/>
          <w:sz w:val="20"/>
          <w:szCs w:val="20"/>
        </w:rPr>
        <w:footnoteRef/>
      </w:r>
      <w:r w:rsidRPr="0061112A">
        <w:rPr>
          <w:sz w:val="20"/>
          <w:szCs w:val="20"/>
        </w:rPr>
        <w:t xml:space="preserve"> </w:t>
      </w:r>
      <w:r w:rsidRPr="0061112A">
        <w:rPr>
          <w:bCs/>
          <w:color w:val="000000"/>
          <w:sz w:val="20"/>
          <w:szCs w:val="20"/>
        </w:rPr>
        <w:t xml:space="preserve"> Thu thuế từ các nhà máy thuỷ điện (thuế VAT) khoản thu này dự kiến sẽ phát sinh lớn vào các tháng cuối năm khoảng </w:t>
      </w:r>
      <w:r w:rsidRPr="0061112A">
        <w:rPr>
          <w:b/>
          <w:color w:val="000000"/>
          <w:sz w:val="20"/>
          <w:szCs w:val="20"/>
        </w:rPr>
        <w:t>400 tỷ đồng;</w:t>
      </w:r>
      <w:r w:rsidRPr="0061112A">
        <w:rPr>
          <w:bCs/>
          <w:iCs/>
          <w:sz w:val="20"/>
          <w:szCs w:val="20"/>
          <w:lang w:val="pt-BR"/>
        </w:rPr>
        <w:t xml:space="preserve"> Thuế VAT giải ngân vốn đầu tư công của các công trình từ nguồn vốn Chương trình mục tiêu quốc gia và vốn cân đối ngân sách địa phương. Số thu này sẽ tập trung thanh toán vào thời điểm cuối năm khoảng </w:t>
      </w:r>
      <w:r w:rsidRPr="0061112A">
        <w:rPr>
          <w:b/>
          <w:iCs/>
          <w:sz w:val="20"/>
          <w:szCs w:val="20"/>
          <w:lang w:val="pt-BR"/>
        </w:rPr>
        <w:t>400 tỷ đồng;</w:t>
      </w:r>
      <w:r w:rsidRPr="0061112A">
        <w:rPr>
          <w:bCs/>
          <w:iCs/>
          <w:sz w:val="20"/>
          <w:szCs w:val="20"/>
          <w:lang w:val="pt-BR"/>
        </w:rPr>
        <w:t xml:space="preserve"> Khoản thu thuế khu vực kinh tế ngoài quốc doanh. Số thu chủ yếu phát sinh từ số nộp của các doanh nghiệp trên địa bàn tỉnh và các nhà máy tinh bột sắn, dự kiến cuối năm sẽ hoạt động hết công suất và phát sinh số nộp lớn khoảng </w:t>
      </w:r>
      <w:r w:rsidRPr="0061112A">
        <w:rPr>
          <w:b/>
          <w:iCs/>
          <w:sz w:val="20"/>
          <w:szCs w:val="20"/>
          <w:lang w:val="pt-BR"/>
        </w:rPr>
        <w:t>400 tỷ đồng;</w:t>
      </w:r>
      <w:r w:rsidRPr="0061112A">
        <w:rPr>
          <w:bCs/>
          <w:iCs/>
          <w:sz w:val="20"/>
          <w:szCs w:val="20"/>
          <w:lang w:val="pt-BR"/>
        </w:rPr>
        <w:t xml:space="preserve"> Thu từ hoạt động xuất nhập khẩu: Cục Hải quan - Gia lai Kon Tum phấn đấu từ nay đến cuối năm thu thêm khoảng </w:t>
      </w:r>
      <w:r w:rsidRPr="0061112A">
        <w:rPr>
          <w:b/>
          <w:iCs/>
          <w:sz w:val="20"/>
          <w:szCs w:val="20"/>
          <w:lang w:val="pt-BR"/>
        </w:rPr>
        <w:t>200 tỷ đồng;</w:t>
      </w:r>
      <w:r w:rsidRPr="0061112A">
        <w:rPr>
          <w:rFonts w:eastAsia="Calibri" w:cs="Times New Roman"/>
          <w:iCs/>
          <w:spacing w:val="-2"/>
          <w:kern w:val="2"/>
          <w:sz w:val="20"/>
          <w:szCs w:val="20"/>
          <w:lang w:val="es-ES"/>
        </w:rPr>
        <w:t xml:space="preserve"> Các khoản thu thuế, phí, lệ phí còn lại, kể cả thu hồi nợ đọng thuế phấn đấu từ nay đến cuối năm thu vào NSNN khoảng </w:t>
      </w:r>
      <w:r w:rsidRPr="0061112A">
        <w:rPr>
          <w:rFonts w:eastAsia="Calibri" w:cs="Times New Roman"/>
          <w:b/>
          <w:bCs/>
          <w:iCs/>
          <w:spacing w:val="-2"/>
          <w:kern w:val="2"/>
          <w:sz w:val="20"/>
          <w:szCs w:val="20"/>
          <w:lang w:val="es-ES"/>
        </w:rPr>
        <w:t>35</w:t>
      </w:r>
      <w:r>
        <w:rPr>
          <w:rFonts w:eastAsia="Calibri" w:cs="Times New Roman"/>
          <w:b/>
          <w:bCs/>
          <w:iCs/>
          <w:spacing w:val="-2"/>
          <w:kern w:val="2"/>
          <w:sz w:val="20"/>
          <w:szCs w:val="20"/>
          <w:lang w:val="es-ES"/>
        </w:rPr>
        <w:t>7</w:t>
      </w:r>
      <w:r w:rsidRPr="0061112A">
        <w:rPr>
          <w:rFonts w:eastAsia="Calibri" w:cs="Times New Roman"/>
          <w:b/>
          <w:bCs/>
          <w:iCs/>
          <w:spacing w:val="-2"/>
          <w:kern w:val="2"/>
          <w:sz w:val="20"/>
          <w:szCs w:val="20"/>
          <w:lang w:val="es-ES"/>
        </w:rPr>
        <w:t xml:space="preserve"> tỷ đồng</w:t>
      </w:r>
      <w:r w:rsidRPr="0061112A">
        <w:rPr>
          <w:rFonts w:eastAsia="Calibri" w:cs="Times New Roman"/>
          <w:iCs/>
          <w:spacing w:val="-2"/>
          <w:kern w:val="2"/>
          <w:sz w:val="20"/>
          <w:szCs w:val="20"/>
          <w:lang w:val="es-ES"/>
        </w:rPr>
        <w:t>.</w:t>
      </w:r>
      <w:r>
        <w:rPr>
          <w:rFonts w:eastAsia="Calibri" w:cs="Times New Roman"/>
          <w:iCs/>
          <w:spacing w:val="-2"/>
          <w:kern w:val="2"/>
          <w:sz w:val="20"/>
          <w:szCs w:val="20"/>
          <w:lang w:val="es-ES"/>
        </w:rPr>
        <w:t xml:space="preserve"> </w:t>
      </w:r>
    </w:p>
  </w:footnote>
  <w:footnote w:id="9">
    <w:p w14:paraId="63AB7ECB" w14:textId="3365D2A6" w:rsidR="001C017E" w:rsidRPr="0061112A" w:rsidRDefault="001C017E">
      <w:pPr>
        <w:pStyle w:val="FootnoteText"/>
        <w:rPr>
          <w:rFonts w:ascii="Times New Roman" w:hAnsi="Times New Roman"/>
          <w:lang w:val="en-US"/>
        </w:rPr>
      </w:pPr>
      <w:r w:rsidRPr="0061112A">
        <w:rPr>
          <w:rStyle w:val="FootnoteReference"/>
          <w:rFonts w:ascii="Times New Roman" w:hAnsi="Times New Roman"/>
        </w:rPr>
        <w:footnoteRef/>
      </w:r>
      <w:r w:rsidRPr="0061112A">
        <w:rPr>
          <w:rFonts w:ascii="Times New Roman" w:hAnsi="Times New Roman"/>
        </w:rPr>
        <w:t xml:space="preserve"> </w:t>
      </w:r>
      <w:r w:rsidRPr="0061112A">
        <w:rPr>
          <w:rFonts w:ascii="Times New Roman" w:hAnsi="Times New Roman"/>
          <w:lang w:val="en-US"/>
        </w:rPr>
        <w:t>Dự toán 2.854,4 tỷ, ước thực hiện 3.</w:t>
      </w:r>
      <w:r w:rsidR="00773ABD">
        <w:rPr>
          <w:rFonts w:ascii="Times New Roman" w:hAnsi="Times New Roman"/>
          <w:lang w:val="en-US"/>
        </w:rPr>
        <w:t>200</w:t>
      </w:r>
      <w:r w:rsidRPr="0061112A">
        <w:rPr>
          <w:rFonts w:ascii="Times New Roman" w:hAnsi="Times New Roman"/>
          <w:lang w:val="en-US"/>
        </w:rPr>
        <w:t xml:space="preserve"> tỷ (6 tháng đầu năm thu 1.4</w:t>
      </w:r>
      <w:r w:rsidR="00773ABD">
        <w:rPr>
          <w:rFonts w:ascii="Times New Roman" w:hAnsi="Times New Roman"/>
          <w:lang w:val="en-US"/>
        </w:rPr>
        <w:t>43</w:t>
      </w:r>
      <w:r w:rsidRPr="0061112A">
        <w:rPr>
          <w:rFonts w:ascii="Times New Roman" w:hAnsi="Times New Roman"/>
          <w:lang w:val="en-US"/>
        </w:rPr>
        <w:t xml:space="preserve"> tỷ, dự kiến 6 tháng cuối năm thu 1.75</w:t>
      </w:r>
      <w:r w:rsidR="00773ABD">
        <w:rPr>
          <w:rFonts w:ascii="Times New Roman" w:hAnsi="Times New Roman"/>
          <w:lang w:val="en-US"/>
        </w:rPr>
        <w:t>7</w:t>
      </w:r>
      <w:r w:rsidRPr="0061112A">
        <w:rPr>
          <w:rFonts w:ascii="Times New Roman" w:hAnsi="Times New Roman"/>
          <w:lang w:val="en-US"/>
        </w:rPr>
        <w:t xml:space="preserve"> tỷ), tăng thu 1</w:t>
      </w:r>
      <w:r w:rsidR="00773ABD">
        <w:rPr>
          <w:rFonts w:ascii="Times New Roman" w:hAnsi="Times New Roman"/>
          <w:lang w:val="en-US"/>
        </w:rPr>
        <w:t>2</w:t>
      </w:r>
      <w:r w:rsidRPr="0061112A">
        <w:rPr>
          <w:rFonts w:ascii="Times New Roman" w:hAnsi="Times New Roman"/>
          <w:lang w:val="en-US"/>
        </w:rPr>
        <w:t>% so dự toán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C2"/>
    <w:rsid w:val="00041243"/>
    <w:rsid w:val="000D44C9"/>
    <w:rsid w:val="00103971"/>
    <w:rsid w:val="00120917"/>
    <w:rsid w:val="001872E7"/>
    <w:rsid w:val="001A39E9"/>
    <w:rsid w:val="001C017E"/>
    <w:rsid w:val="001C0FDE"/>
    <w:rsid w:val="00200531"/>
    <w:rsid w:val="002319B1"/>
    <w:rsid w:val="0023496C"/>
    <w:rsid w:val="00245435"/>
    <w:rsid w:val="00272DEB"/>
    <w:rsid w:val="002C63BF"/>
    <w:rsid w:val="00342012"/>
    <w:rsid w:val="0036149E"/>
    <w:rsid w:val="004B3071"/>
    <w:rsid w:val="004E591D"/>
    <w:rsid w:val="005A1211"/>
    <w:rsid w:val="005F6009"/>
    <w:rsid w:val="00607034"/>
    <w:rsid w:val="0061112A"/>
    <w:rsid w:val="00641FF8"/>
    <w:rsid w:val="006A6B8A"/>
    <w:rsid w:val="006D6081"/>
    <w:rsid w:val="006F07B6"/>
    <w:rsid w:val="00701BBD"/>
    <w:rsid w:val="00773ABD"/>
    <w:rsid w:val="007B071D"/>
    <w:rsid w:val="007B0854"/>
    <w:rsid w:val="007B25DC"/>
    <w:rsid w:val="007C03A7"/>
    <w:rsid w:val="007D5637"/>
    <w:rsid w:val="007E6D26"/>
    <w:rsid w:val="008178F1"/>
    <w:rsid w:val="00894A15"/>
    <w:rsid w:val="008A3EB0"/>
    <w:rsid w:val="008F45AB"/>
    <w:rsid w:val="00906532"/>
    <w:rsid w:val="00914A40"/>
    <w:rsid w:val="009324D7"/>
    <w:rsid w:val="00940FB6"/>
    <w:rsid w:val="009D51D4"/>
    <w:rsid w:val="009F1D1D"/>
    <w:rsid w:val="00A122BD"/>
    <w:rsid w:val="00A6179E"/>
    <w:rsid w:val="00A6342F"/>
    <w:rsid w:val="00A728BB"/>
    <w:rsid w:val="00A73C1A"/>
    <w:rsid w:val="00AD400C"/>
    <w:rsid w:val="00B21CAF"/>
    <w:rsid w:val="00B663C4"/>
    <w:rsid w:val="00B918F0"/>
    <w:rsid w:val="00B93404"/>
    <w:rsid w:val="00BC553B"/>
    <w:rsid w:val="00BC5FE3"/>
    <w:rsid w:val="00BD29D7"/>
    <w:rsid w:val="00BF4436"/>
    <w:rsid w:val="00C065C2"/>
    <w:rsid w:val="00C2540C"/>
    <w:rsid w:val="00CC7EB8"/>
    <w:rsid w:val="00CE0525"/>
    <w:rsid w:val="00CE65AE"/>
    <w:rsid w:val="00CF46B7"/>
    <w:rsid w:val="00D66CE5"/>
    <w:rsid w:val="00D9789E"/>
    <w:rsid w:val="00DB7EDB"/>
    <w:rsid w:val="00DE4A1B"/>
    <w:rsid w:val="00E35B40"/>
    <w:rsid w:val="00E421DA"/>
    <w:rsid w:val="00EC4BD0"/>
    <w:rsid w:val="00EE17C2"/>
    <w:rsid w:val="00F22575"/>
    <w:rsid w:val="00F7361A"/>
    <w:rsid w:val="00F87921"/>
    <w:rsid w:val="00F95551"/>
    <w:rsid w:val="00FE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CDD7"/>
  <w15:chartTrackingRefBased/>
  <w15:docId w15:val="{BC043F3E-83B0-42A1-B596-D8AAC6B8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B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locked/>
    <w:rsid w:val="00701BBD"/>
    <w:rPr>
      <w:rFonts w:ascii="Calibri" w:eastAsia="Calibri" w:hAnsi="Calibri" w:cs="Times New Roman"/>
      <w:sz w:val="20"/>
      <w:szCs w:val="20"/>
      <w:lang w:val="en-GB" w:eastAsia="en-GB"/>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701BBD"/>
    <w:pPr>
      <w:spacing w:after="0" w:line="240" w:lineRule="auto"/>
    </w:pPr>
    <w:rPr>
      <w:rFonts w:ascii="Calibri" w:eastAsia="Calibri" w:hAnsi="Calibri" w:cs="Times New Roman"/>
      <w:kern w:val="2"/>
      <w:sz w:val="20"/>
      <w:szCs w:val="20"/>
      <w:lang w:val="en-GB" w:eastAsia="en-GB"/>
      <w14:ligatures w14:val="standardContextual"/>
    </w:rPr>
  </w:style>
  <w:style w:type="character" w:customStyle="1" w:styleId="FootnoteTextChar1">
    <w:name w:val="Footnote Text Char1"/>
    <w:basedOn w:val="DefaultParagraphFont"/>
    <w:uiPriority w:val="99"/>
    <w:semiHidden/>
    <w:rsid w:val="00701BBD"/>
    <w:rPr>
      <w:kern w:val="0"/>
      <w:sz w:val="20"/>
      <w:szCs w:val="20"/>
      <w14:ligatures w14:val="none"/>
    </w:rPr>
  </w:style>
  <w:style w:type="paragraph" w:styleId="BodyText">
    <w:name w:val="Body Text"/>
    <w:basedOn w:val="Normal"/>
    <w:link w:val="BodyTextChar"/>
    <w:uiPriority w:val="1"/>
    <w:unhideWhenUsed/>
    <w:qFormat/>
    <w:rsid w:val="00701BBD"/>
    <w:pPr>
      <w:widowControl w:val="0"/>
      <w:autoSpaceDE w:val="0"/>
      <w:autoSpaceDN w:val="0"/>
      <w:spacing w:after="0" w:line="240" w:lineRule="auto"/>
      <w:jc w:val="both"/>
    </w:pPr>
    <w:rPr>
      <w:rFonts w:eastAsia="Times New Roman" w:cs="Times New Roman"/>
      <w:szCs w:val="28"/>
    </w:rPr>
  </w:style>
  <w:style w:type="character" w:customStyle="1" w:styleId="BodyTextChar">
    <w:name w:val="Body Text Char"/>
    <w:basedOn w:val="DefaultParagraphFont"/>
    <w:link w:val="BodyText"/>
    <w:uiPriority w:val="1"/>
    <w:rsid w:val="00701BBD"/>
    <w:rPr>
      <w:rFonts w:eastAsia="Times New Roman" w:cs="Times New Roman"/>
      <w:kern w:val="0"/>
      <w:szCs w:val="28"/>
      <w14:ligatures w14:val="none"/>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f,R,BVI f"/>
    <w:basedOn w:val="DefaultParagraphFont"/>
    <w:link w:val="ftrefCharCharChar1Char"/>
    <w:unhideWhenUsed/>
    <w:qFormat/>
    <w:rsid w:val="00701BBD"/>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701BBD"/>
    <w:pPr>
      <w:spacing w:after="160" w:line="240" w:lineRule="exact"/>
    </w:pPr>
    <w:rPr>
      <w:kern w:val="2"/>
      <w:vertAlign w:val="superscript"/>
      <w14:ligatures w14:val="standardContextual"/>
    </w:rPr>
  </w:style>
  <w:style w:type="paragraph" w:styleId="ListParagraph">
    <w:name w:val="List Paragraph"/>
    <w:basedOn w:val="Normal"/>
    <w:uiPriority w:val="34"/>
    <w:qFormat/>
    <w:rsid w:val="00E421DA"/>
    <w:pPr>
      <w:ind w:left="720"/>
      <w:contextualSpacing/>
    </w:pPr>
  </w:style>
  <w:style w:type="paragraph" w:styleId="NormalWeb">
    <w:name w:val="Normal (Web)"/>
    <w:basedOn w:val="Normal"/>
    <w:uiPriority w:val="99"/>
    <w:rsid w:val="007E6D26"/>
    <w:pPr>
      <w:spacing w:before="100" w:beforeAutospacing="1" w:after="100" w:afterAutospacing="1" w:line="240" w:lineRule="auto"/>
    </w:pPr>
    <w:rPr>
      <w:rFonts w:eastAsia="Times New Roman" w:cs="Times New Roman"/>
      <w:sz w:val="24"/>
      <w:szCs w:val="24"/>
    </w:rPr>
  </w:style>
  <w:style w:type="character" w:customStyle="1" w:styleId="fontstyle01">
    <w:name w:val="fontstyle01"/>
    <w:rsid w:val="007E6D26"/>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2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575"/>
    <w:rPr>
      <w:kern w:val="0"/>
      <w14:ligatures w14:val="none"/>
    </w:rPr>
  </w:style>
  <w:style w:type="paragraph" w:styleId="Footer">
    <w:name w:val="footer"/>
    <w:basedOn w:val="Normal"/>
    <w:link w:val="FooterChar"/>
    <w:uiPriority w:val="99"/>
    <w:unhideWhenUsed/>
    <w:rsid w:val="00F2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5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1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00C38-4931-4CEF-8870-392E4339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 Khiem</dc:creator>
  <cp:keywords/>
  <dc:description/>
  <cp:lastModifiedBy>Trương Quang Vương </cp:lastModifiedBy>
  <cp:revision>6</cp:revision>
  <dcterms:created xsi:type="dcterms:W3CDTF">2024-07-08T02:50:00Z</dcterms:created>
  <dcterms:modified xsi:type="dcterms:W3CDTF">2024-07-08T07:22:00Z</dcterms:modified>
</cp:coreProperties>
</file>