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8"/>
        <w:gridCol w:w="8972"/>
      </w:tblGrid>
      <w:tr w:rsidR="002E71CF">
        <w:trPr>
          <w:trHeight w:val="689"/>
        </w:trPr>
        <w:tc>
          <w:tcPr>
            <w:tcW w:w="2064" w:type="pct"/>
            <w:tcBorders>
              <w:top w:val="nil"/>
              <w:left w:val="nil"/>
              <w:bottom w:val="nil"/>
              <w:right w:val="nil"/>
            </w:tcBorders>
          </w:tcPr>
          <w:p w:rsidR="002E71CF" w:rsidRDefault="009E4322">
            <w:pPr>
              <w:pStyle w:val="Heading3"/>
              <w:keepNext w:val="0"/>
              <w:widowControl w:val="0"/>
              <w:spacing w:before="0"/>
              <w:rPr>
                <w:b w:val="0"/>
                <w:color w:val="auto"/>
                <w:lang w:val="en-US"/>
              </w:rPr>
            </w:pPr>
            <w:r>
              <w:rPr>
                <w:b w:val="0"/>
                <w:color w:val="auto"/>
                <w:lang w:eastAsia="en-US"/>
              </w:rPr>
              <w:t>H</w:t>
            </w:r>
            <w:r>
              <w:rPr>
                <w:b w:val="0"/>
                <w:color w:val="auto"/>
                <w:lang w:val="en-US" w:eastAsia="en-US"/>
              </w:rPr>
              <w:t>ĐN</w:t>
            </w:r>
            <w:r>
              <w:rPr>
                <w:b w:val="0"/>
                <w:color w:val="auto"/>
                <w:lang w:eastAsia="en-US"/>
              </w:rPr>
              <w:t>D</w:t>
            </w:r>
            <w:r>
              <w:rPr>
                <w:b w:val="0"/>
                <w:color w:val="auto"/>
                <w:lang w:val="en-US" w:eastAsia="en-US"/>
              </w:rPr>
              <w:t xml:space="preserve"> </w:t>
            </w:r>
            <w:r>
              <w:rPr>
                <w:b w:val="0"/>
                <w:color w:val="auto"/>
              </w:rPr>
              <w:t>TỈNH KON TUM</w:t>
            </w:r>
          </w:p>
          <w:p w:rsidR="002E71CF" w:rsidRDefault="009E4322">
            <w:pPr>
              <w:widowControl w:val="0"/>
              <w:spacing w:before="0" w:after="0"/>
              <w:jc w:val="center"/>
              <w:rPr>
                <w:b/>
                <w:lang w:eastAsia="vi-VN"/>
              </w:rP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214630</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ln>
                            </wps:spPr>
                            <wps:bodyPr/>
                          </wps:wsp>
                        </a:graphicData>
                      </a:graphic>
                    </wp:anchor>
                  </w:drawing>
                </mc:Choice>
                <mc:Fallback xmlns:wpsCustomData="http://www.wps.cn/officeDocument/2013/wpsCustomData">
                  <w:pict>
                    <v:line id="_x0000_s1026" o:spid="_x0000_s1026" o:spt="20" style="position:absolute;left:0pt;margin-top:16.9pt;height:0pt;width:46.9pt;mso-position-horizontal:center;mso-position-horizontal-relative:margin;z-index:251659264;mso-width-relative:page;mso-height-relative:page;" filled="f" stroked="t" coordsize="21600,21600" o:gfxdata="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D5qUHSAAAABQEAAA8AAAAAAAAAAQAgAAAAIgAA&#10;AGRycy9kb3ducmV2LnhtbFBLAQIUABQAAAAIAIdO4kB76EGn1QEAAKwDAAAOAAAAAAAAAAEAIAAA&#10;ACEBAABkcnMvZTJvRG9jLnhtbFBLBQYAAAAABgAGAFkBAABoBQAAAAA=&#10;">
                      <v:fill on="f" focussize="0,0"/>
                      <v:stroke color="#002060" joinstyle="round"/>
                      <v:imagedata o:title=""/>
                      <o:lock v:ext="edit" aspectratio="f"/>
                    </v:line>
                  </w:pict>
                </mc:Fallback>
              </mc:AlternateContent>
            </w:r>
            <w:r>
              <w:rPr>
                <w:b/>
                <w:sz w:val="26"/>
                <w:lang w:eastAsia="vi-VN"/>
              </w:rPr>
              <w:t>BAN KINH TẾ - NGÂN SÁCH</w:t>
            </w:r>
          </w:p>
        </w:tc>
        <w:tc>
          <w:tcPr>
            <w:tcW w:w="2936" w:type="pct"/>
            <w:tcBorders>
              <w:top w:val="nil"/>
              <w:left w:val="nil"/>
              <w:bottom w:val="nil"/>
              <w:right w:val="nil"/>
            </w:tcBorders>
          </w:tcPr>
          <w:p w:rsidR="002E71CF" w:rsidRDefault="009E4322">
            <w:pPr>
              <w:widowControl w:val="0"/>
              <w:spacing w:before="0" w:after="0"/>
              <w:jc w:val="center"/>
              <w:rPr>
                <w:b/>
                <w:sz w:val="24"/>
              </w:rPr>
            </w:pPr>
            <w:r>
              <w:rPr>
                <w:b/>
                <w:sz w:val="24"/>
              </w:rPr>
              <w:t>CỘNG HÒA XÃ HỘI CHỦ NGHĨA VIỆT NAM</w:t>
            </w:r>
          </w:p>
          <w:p w:rsidR="002E71CF" w:rsidRDefault="009E4322">
            <w:pPr>
              <w:widowControl w:val="0"/>
              <w:spacing w:before="0" w:after="0"/>
              <w:jc w:val="cente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1706245</wp:posOffset>
                      </wp:positionH>
                      <wp:positionV relativeFrom="paragraph">
                        <wp:posOffset>232410</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ln>
                            </wps:spPr>
                            <wps:bodyPr/>
                          </wps:wsp>
                        </a:graphicData>
                      </a:graphic>
                    </wp:anchor>
                  </w:drawing>
                </mc:Choice>
                <mc:Fallback xmlns:wpsCustomData="http://www.wps.cn/officeDocument/2013/wpsCustomData">
                  <w:pict>
                    <v:line id="_x0000_s1026" o:spid="_x0000_s1026" o:spt="20" style="position:absolute;left:0pt;margin-left:134.35pt;margin-top:18.3pt;height:0pt;width:164.05pt;z-index:251660288;mso-width-relative:page;mso-height-relative:page;" filled="f" stroked="t" coordsize="21600,21600" o:gfxdata="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DfULNYAAAAJAQAADwAAAAAAAAABACAA&#10;AAAiAAAAZHJzL2Rvd25yZXYueG1sUEsBAhQAFAAAAAgAh07iQP9U3MnWAQAArQMAAA4AAAAAAAAA&#10;AQAgAAAAJQEAAGRycy9lMm9Eb2MueG1sUEsFBgAAAAAGAAYAWQEAAG0FAAAAAA==&#10;">
                      <v:fill on="f" focussize="0,0"/>
                      <v:stroke color="#002060" joinstyle="round"/>
                      <v:imagedata o:title=""/>
                      <o:lock v:ext="edit" aspectratio="f"/>
                    </v:line>
                  </w:pict>
                </mc:Fallback>
              </mc:AlternateContent>
            </w:r>
            <w:r>
              <w:rPr>
                <w:b/>
              </w:rPr>
              <w:t>Độc lập - Tự do - Hạnh phúc</w:t>
            </w:r>
          </w:p>
        </w:tc>
      </w:tr>
    </w:tbl>
    <w:p w:rsidR="002E71CF" w:rsidRDefault="009E4322">
      <w:pPr>
        <w:widowControl w:val="0"/>
        <w:jc w:val="center"/>
        <w:rPr>
          <w:b/>
          <w:sz w:val="26"/>
          <w:szCs w:val="26"/>
        </w:rPr>
      </w:pPr>
      <w:r>
        <w:rPr>
          <w:b/>
          <w:sz w:val="26"/>
          <w:szCs w:val="26"/>
        </w:rPr>
        <w:t>PHỤ LỤC</w:t>
      </w:r>
    </w:p>
    <w:p w:rsidR="002E71CF" w:rsidRDefault="009E4322">
      <w:pPr>
        <w:widowControl w:val="0"/>
        <w:jc w:val="center"/>
        <w:rPr>
          <w:b/>
          <w:sz w:val="26"/>
          <w:szCs w:val="26"/>
        </w:rPr>
      </w:pPr>
      <w:r>
        <w:rPr>
          <w:b/>
          <w:bCs/>
          <w:szCs w:val="28"/>
          <w:lang w:val="nl-NL"/>
        </w:rPr>
        <w:t>Kết quả thẩm tra dự thảo Nghị quyết trình Kỳ họp chuyên đề, Hội đồng nhân dân tỉnh Khóa XII</w:t>
      </w:r>
      <w:r>
        <w:rPr>
          <w:b/>
          <w:sz w:val="26"/>
          <w:szCs w:val="26"/>
        </w:rPr>
        <w:t xml:space="preserve"> </w:t>
      </w:r>
    </w:p>
    <w:p w:rsidR="002E71CF" w:rsidRDefault="009E4322">
      <w:pPr>
        <w:widowControl w:val="0"/>
        <w:jc w:val="center"/>
        <w:rPr>
          <w:b/>
          <w:sz w:val="26"/>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3810000</wp:posOffset>
                </wp:positionH>
                <wp:positionV relativeFrom="paragraph">
                  <wp:posOffset>57785</wp:posOffset>
                </wp:positionV>
                <wp:extent cx="208343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ln>
                      </wps:spPr>
                      <wps:bodyPr/>
                    </wps:wsp>
                  </a:graphicData>
                </a:graphic>
              </wp:anchor>
            </w:drawing>
          </mc:Choice>
          <mc:Fallback xmlns:wpsCustomData="http://www.wps.cn/officeDocument/2013/wpsCustomData">
            <w:pict>
              <v:line id="_x0000_s1026" o:spid="_x0000_s1026" o:spt="20" style="position:absolute;left:0pt;margin-left:300pt;margin-top:4.55pt;height:0pt;width:164.05pt;z-index:251660288;mso-width-relative:page;mso-height-relative:page;" filled="f" stroked="t" coordsize="21600,21600" o:gfxdata="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8kfQtQAAAAHAQAADwAAAAAAAAABACAAAAAi&#10;AAAAZHJzL2Rvd25yZXYueG1sUEsBAhQAFAAAAAgAh07iQNHDXxjVAQAArQMAAA4AAAAAAAAAAQAg&#10;AAAAIwEAAGRycy9lMm9Eb2MueG1sUEsFBgAAAAAGAAYAWQEAAGoFAAAAAA==&#10;">
                <v:fill on="f" focussize="0,0"/>
                <v:stroke color="#002060" joinstyle="round"/>
                <v:imagedata o:title=""/>
                <o:lock v:ext="edit" aspectratio="f"/>
              </v:line>
            </w:pict>
          </mc:Fallback>
        </mc:AlternateContent>
      </w:r>
    </w:p>
    <w:p w:rsidR="002E71CF" w:rsidRDefault="009E4322">
      <w:pPr>
        <w:spacing w:line="288" w:lineRule="auto"/>
        <w:ind w:firstLine="709"/>
        <w:jc w:val="both"/>
        <w:rPr>
          <w:szCs w:val="28"/>
          <w:lang w:val="de-DE"/>
        </w:rPr>
      </w:pPr>
      <w:r>
        <w:rPr>
          <w:szCs w:val="28"/>
          <w:lang w:val="de-DE"/>
        </w:rPr>
        <w:t xml:space="preserve">Tại Kỳ họp chuyên đề, Ủy ban nhân dân tỉnh trình Hội đồng nhân dân tỉnh xem xét, quyết định </w:t>
      </w:r>
      <w:r>
        <w:rPr>
          <w:szCs w:val="28"/>
          <w:lang w:val="vi-VN"/>
        </w:rPr>
        <w:t>01</w:t>
      </w:r>
      <w:r>
        <w:rPr>
          <w:szCs w:val="28"/>
          <w:lang w:val="de-DE"/>
        </w:rPr>
        <w:t xml:space="preserve"> dự thảo Nghị quyết thuộc lĩnh vực phụ trách của Ban Kinh tế - Ngân sách. Ban Kinh tế - Ngân sách tổng hợp kết quả thẩm tra dự thảo Nghị quyết, cụ thể như sau:</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6646"/>
        <w:gridCol w:w="6879"/>
        <w:gridCol w:w="1411"/>
      </w:tblGrid>
      <w:tr w:rsidR="002E71CF" w:rsidRPr="008C5205" w:rsidTr="00D6387E">
        <w:trPr>
          <w:tblHeader/>
        </w:trPr>
        <w:tc>
          <w:tcPr>
            <w:tcW w:w="206" w:type="pct"/>
            <w:shd w:val="clear" w:color="auto" w:fill="auto"/>
            <w:vAlign w:val="center"/>
          </w:tcPr>
          <w:p w:rsidR="002E71CF" w:rsidRPr="008C5205" w:rsidRDefault="009E4322" w:rsidP="008C5205">
            <w:pPr>
              <w:widowControl w:val="0"/>
              <w:spacing w:after="0"/>
              <w:jc w:val="center"/>
              <w:rPr>
                <w:rFonts w:eastAsia="Times New Roman"/>
                <w:b/>
                <w:bCs/>
                <w:sz w:val="24"/>
                <w:szCs w:val="26"/>
              </w:rPr>
            </w:pPr>
            <w:r w:rsidRPr="008C5205">
              <w:rPr>
                <w:rFonts w:eastAsia="Times New Roman"/>
                <w:b/>
                <w:bCs/>
                <w:sz w:val="24"/>
                <w:szCs w:val="26"/>
              </w:rPr>
              <w:t>TT</w:t>
            </w:r>
          </w:p>
        </w:tc>
        <w:tc>
          <w:tcPr>
            <w:tcW w:w="2133" w:type="pct"/>
            <w:shd w:val="clear" w:color="auto" w:fill="auto"/>
            <w:vAlign w:val="center"/>
          </w:tcPr>
          <w:p w:rsidR="002E71CF" w:rsidRPr="008C5205" w:rsidRDefault="009E4322" w:rsidP="008C5205">
            <w:pPr>
              <w:widowControl w:val="0"/>
              <w:spacing w:after="0"/>
              <w:jc w:val="center"/>
              <w:rPr>
                <w:rFonts w:eastAsia="Times New Roman"/>
                <w:b/>
                <w:bCs/>
                <w:sz w:val="24"/>
                <w:szCs w:val="26"/>
              </w:rPr>
            </w:pPr>
            <w:r w:rsidRPr="008C5205">
              <w:rPr>
                <w:b/>
                <w:sz w:val="24"/>
                <w:szCs w:val="26"/>
              </w:rPr>
              <w:t xml:space="preserve">Kiến nghị, đề xuất </w:t>
            </w:r>
            <w:r w:rsidRPr="008C5205">
              <w:rPr>
                <w:rFonts w:eastAsia="Times New Roman"/>
                <w:b/>
                <w:bCs/>
                <w:sz w:val="24"/>
                <w:szCs w:val="26"/>
              </w:rPr>
              <w:t>của Ban KT-NS qua thẩm tra</w:t>
            </w:r>
          </w:p>
        </w:tc>
        <w:tc>
          <w:tcPr>
            <w:tcW w:w="2208" w:type="pct"/>
            <w:shd w:val="clear" w:color="auto" w:fill="auto"/>
            <w:vAlign w:val="center"/>
          </w:tcPr>
          <w:p w:rsidR="002E71CF" w:rsidRPr="008C5205" w:rsidRDefault="009E4322" w:rsidP="008C5205">
            <w:pPr>
              <w:widowControl w:val="0"/>
              <w:spacing w:after="0"/>
              <w:jc w:val="center"/>
              <w:rPr>
                <w:rFonts w:eastAsia="Times New Roman"/>
                <w:b/>
                <w:bCs/>
                <w:sz w:val="24"/>
                <w:szCs w:val="26"/>
              </w:rPr>
            </w:pPr>
            <w:r w:rsidRPr="008C5205">
              <w:rPr>
                <w:rFonts w:eastAsia="Times New Roman"/>
                <w:b/>
                <w:bCs/>
                <w:sz w:val="24"/>
                <w:szCs w:val="26"/>
              </w:rPr>
              <w:t xml:space="preserve">Ý kiến tiếp thu, giải trình của Ủy ban nhân dân tỉnh tại </w:t>
            </w:r>
          </w:p>
          <w:p w:rsidR="002E71CF" w:rsidRPr="008C5205" w:rsidRDefault="009E4322" w:rsidP="008C5205">
            <w:pPr>
              <w:widowControl w:val="0"/>
              <w:spacing w:after="0"/>
              <w:jc w:val="center"/>
              <w:rPr>
                <w:rFonts w:eastAsia="Times New Roman"/>
                <w:b/>
                <w:bCs/>
                <w:sz w:val="24"/>
                <w:szCs w:val="26"/>
              </w:rPr>
            </w:pPr>
            <w:r w:rsidRPr="008C5205">
              <w:rPr>
                <w:rFonts w:eastAsia="Times New Roman"/>
                <w:b/>
                <w:bCs/>
                <w:sz w:val="24"/>
                <w:szCs w:val="26"/>
              </w:rPr>
              <w:t xml:space="preserve">Báo cáo số </w:t>
            </w:r>
            <w:r w:rsidR="008C5205" w:rsidRPr="008C5205">
              <w:rPr>
                <w:rFonts w:eastAsia="Times New Roman"/>
                <w:b/>
                <w:bCs/>
                <w:sz w:val="24"/>
                <w:szCs w:val="26"/>
              </w:rPr>
              <w:t>212</w:t>
            </w:r>
            <w:r w:rsidRPr="008C5205">
              <w:rPr>
                <w:rFonts w:eastAsia="Times New Roman"/>
                <w:b/>
                <w:bCs/>
                <w:sz w:val="24"/>
                <w:szCs w:val="26"/>
                <w:lang w:val="vi-VN"/>
              </w:rPr>
              <w:t>/</w:t>
            </w:r>
            <w:r w:rsidRPr="008C5205">
              <w:rPr>
                <w:rFonts w:eastAsia="Times New Roman"/>
                <w:b/>
                <w:bCs/>
                <w:sz w:val="24"/>
                <w:szCs w:val="26"/>
              </w:rPr>
              <w:t xml:space="preserve">BC-UBND ngày </w:t>
            </w:r>
            <w:r w:rsidR="008C5205" w:rsidRPr="008C5205">
              <w:rPr>
                <w:rFonts w:eastAsia="Times New Roman"/>
                <w:b/>
                <w:bCs/>
                <w:sz w:val="24"/>
                <w:szCs w:val="26"/>
              </w:rPr>
              <w:t>27</w:t>
            </w:r>
            <w:r w:rsidRPr="008C5205">
              <w:rPr>
                <w:rFonts w:eastAsia="Times New Roman"/>
                <w:b/>
                <w:bCs/>
                <w:sz w:val="24"/>
                <w:szCs w:val="26"/>
              </w:rPr>
              <w:t xml:space="preserve"> tháng </w:t>
            </w:r>
            <w:r w:rsidRPr="008C5205">
              <w:rPr>
                <w:rFonts w:eastAsia="Times New Roman"/>
                <w:b/>
                <w:bCs/>
                <w:sz w:val="24"/>
                <w:szCs w:val="26"/>
                <w:lang w:val="vi-VN"/>
              </w:rPr>
              <w:t>6</w:t>
            </w:r>
            <w:r w:rsidRPr="008C5205">
              <w:rPr>
                <w:rFonts w:eastAsia="Times New Roman"/>
                <w:b/>
                <w:bCs/>
                <w:sz w:val="24"/>
                <w:szCs w:val="26"/>
              </w:rPr>
              <w:t xml:space="preserve"> năm 2024</w:t>
            </w:r>
          </w:p>
        </w:tc>
        <w:tc>
          <w:tcPr>
            <w:tcW w:w="453" w:type="pct"/>
            <w:vAlign w:val="center"/>
          </w:tcPr>
          <w:p w:rsidR="002E71CF" w:rsidRPr="008C5205" w:rsidRDefault="009E4322" w:rsidP="008C5205">
            <w:pPr>
              <w:widowControl w:val="0"/>
              <w:spacing w:after="0"/>
              <w:jc w:val="center"/>
              <w:rPr>
                <w:rFonts w:eastAsia="Times New Roman"/>
                <w:b/>
                <w:bCs/>
                <w:sz w:val="24"/>
                <w:szCs w:val="26"/>
              </w:rPr>
            </w:pPr>
            <w:r w:rsidRPr="008C5205">
              <w:rPr>
                <w:rFonts w:eastAsia="Times New Roman"/>
                <w:b/>
                <w:bCs/>
                <w:sz w:val="22"/>
                <w:szCs w:val="26"/>
              </w:rPr>
              <w:t>Ý kiến của Ban KTNS về nội dung tiếp thu, giải trình của UBND tỉnh</w:t>
            </w:r>
          </w:p>
        </w:tc>
      </w:tr>
      <w:tr w:rsidR="002E71CF" w:rsidRPr="008C5205" w:rsidTr="00D6387E">
        <w:tc>
          <w:tcPr>
            <w:tcW w:w="206" w:type="pct"/>
            <w:shd w:val="clear" w:color="auto" w:fill="auto"/>
            <w:vAlign w:val="center"/>
          </w:tcPr>
          <w:p w:rsidR="002E71CF" w:rsidRPr="008C5205" w:rsidRDefault="009E4322" w:rsidP="008C5205">
            <w:pPr>
              <w:widowControl w:val="0"/>
              <w:spacing w:after="0"/>
              <w:jc w:val="center"/>
              <w:rPr>
                <w:rFonts w:eastAsia="Times New Roman"/>
                <w:b/>
                <w:bCs/>
                <w:sz w:val="26"/>
                <w:szCs w:val="26"/>
              </w:rPr>
            </w:pPr>
            <w:r w:rsidRPr="008C5205">
              <w:rPr>
                <w:rFonts w:eastAsia="Times New Roman"/>
                <w:b/>
                <w:bCs/>
                <w:sz w:val="26"/>
                <w:szCs w:val="26"/>
              </w:rPr>
              <w:t>1</w:t>
            </w:r>
          </w:p>
        </w:tc>
        <w:tc>
          <w:tcPr>
            <w:tcW w:w="4341" w:type="pct"/>
            <w:gridSpan w:val="2"/>
            <w:shd w:val="clear" w:color="auto" w:fill="auto"/>
            <w:vAlign w:val="center"/>
          </w:tcPr>
          <w:p w:rsidR="002E71CF" w:rsidRPr="008C5205" w:rsidRDefault="009E4322" w:rsidP="008C5205">
            <w:pPr>
              <w:spacing w:after="0"/>
              <w:jc w:val="both"/>
              <w:rPr>
                <w:rFonts w:eastAsia="Times New Roman"/>
                <w:b/>
                <w:bCs/>
                <w:sz w:val="26"/>
                <w:szCs w:val="26"/>
              </w:rPr>
            </w:pPr>
            <w:r w:rsidRPr="008C5205">
              <w:rPr>
                <w:b/>
                <w:sz w:val="26"/>
                <w:szCs w:val="26"/>
              </w:rPr>
              <w:t xml:space="preserve">Dự thảo Nghị quyết </w:t>
            </w:r>
            <w:r w:rsidRPr="008C5205">
              <w:rPr>
                <w:b/>
                <w:bCs/>
                <w:iCs/>
                <w:sz w:val="26"/>
                <w:szCs w:val="26"/>
              </w:rPr>
              <w:t xml:space="preserve">Danh mục </w:t>
            </w:r>
            <w:r w:rsidRPr="008C5205">
              <w:rPr>
                <w:b/>
                <w:sz w:val="26"/>
                <w:szCs w:val="26"/>
              </w:rPr>
              <w:t xml:space="preserve">dự án cần thu hồi đất năm 2024 (bổ sung) trên địa bàn tỉnh Kon Tum  </w:t>
            </w:r>
          </w:p>
        </w:tc>
        <w:tc>
          <w:tcPr>
            <w:tcW w:w="453" w:type="pct"/>
            <w:vAlign w:val="center"/>
          </w:tcPr>
          <w:p w:rsidR="002E71CF" w:rsidRPr="008C5205" w:rsidRDefault="00AB7241" w:rsidP="008C5205">
            <w:pPr>
              <w:widowControl w:val="0"/>
              <w:spacing w:after="0"/>
              <w:jc w:val="both"/>
              <w:rPr>
                <w:rFonts w:eastAsia="Times New Roman"/>
                <w:bCs/>
                <w:sz w:val="26"/>
                <w:szCs w:val="26"/>
              </w:rPr>
            </w:pPr>
            <w:r>
              <w:rPr>
                <w:rFonts w:eastAsia="Times New Roman"/>
                <w:bCs/>
                <w:sz w:val="26"/>
                <w:szCs w:val="26"/>
              </w:rPr>
              <w:t>Thống nhất</w:t>
            </w:r>
            <w:bookmarkStart w:id="0" w:name="_GoBack"/>
            <w:bookmarkEnd w:id="0"/>
          </w:p>
        </w:tc>
      </w:tr>
      <w:tr w:rsidR="002E71CF" w:rsidRPr="008C5205" w:rsidTr="00D6387E">
        <w:tc>
          <w:tcPr>
            <w:tcW w:w="206" w:type="pct"/>
            <w:shd w:val="clear" w:color="auto" w:fill="auto"/>
            <w:vAlign w:val="center"/>
          </w:tcPr>
          <w:p w:rsidR="002E71CF" w:rsidRPr="008C5205" w:rsidRDefault="002E71CF" w:rsidP="008C5205">
            <w:pPr>
              <w:widowControl w:val="0"/>
              <w:spacing w:after="0"/>
              <w:jc w:val="center"/>
              <w:rPr>
                <w:rFonts w:eastAsia="Times New Roman"/>
                <w:b/>
                <w:bCs/>
                <w:sz w:val="26"/>
                <w:szCs w:val="26"/>
              </w:rPr>
            </w:pPr>
          </w:p>
        </w:tc>
        <w:tc>
          <w:tcPr>
            <w:tcW w:w="2133" w:type="pct"/>
            <w:shd w:val="clear" w:color="auto" w:fill="auto"/>
            <w:vAlign w:val="center"/>
          </w:tcPr>
          <w:p w:rsidR="002E71CF" w:rsidRPr="008C5205" w:rsidRDefault="009E4322" w:rsidP="008C5205">
            <w:pPr>
              <w:widowControl w:val="0"/>
              <w:spacing w:after="0"/>
              <w:jc w:val="both"/>
              <w:rPr>
                <w:b/>
                <w:sz w:val="26"/>
                <w:szCs w:val="26"/>
              </w:rPr>
            </w:pPr>
            <w:r w:rsidRPr="008C5205">
              <w:rPr>
                <w:bCs/>
                <w:i/>
                <w:iCs/>
                <w:sz w:val="26"/>
                <w:szCs w:val="26"/>
              </w:rPr>
              <w:t xml:space="preserve">Đề nghị </w:t>
            </w:r>
            <w:r w:rsidRPr="008C5205">
              <w:rPr>
                <w:bCs/>
                <w:i/>
                <w:iCs/>
                <w:sz w:val="26"/>
                <w:szCs w:val="26"/>
                <w:lang w:val="nl-NL"/>
              </w:rPr>
              <w:t>Ủy ban nhân dân</w:t>
            </w:r>
            <w:r w:rsidRPr="008C5205">
              <w:rPr>
                <w:bCs/>
                <w:i/>
                <w:iCs/>
                <w:sz w:val="26"/>
                <w:szCs w:val="26"/>
              </w:rPr>
              <w:t xml:space="preserve"> tỉnh tỉnh tiếp thu, giải trình một số nội dung sau:</w:t>
            </w:r>
          </w:p>
        </w:tc>
        <w:tc>
          <w:tcPr>
            <w:tcW w:w="2208" w:type="pct"/>
            <w:shd w:val="clear" w:color="auto" w:fill="auto"/>
            <w:vAlign w:val="center"/>
          </w:tcPr>
          <w:p w:rsidR="002E71CF" w:rsidRPr="008C5205" w:rsidRDefault="002E71CF" w:rsidP="008C5205">
            <w:pPr>
              <w:widowControl w:val="0"/>
              <w:spacing w:after="0"/>
              <w:jc w:val="center"/>
              <w:rPr>
                <w:rFonts w:eastAsia="Times New Roman"/>
                <w:b/>
                <w:bCs/>
                <w:sz w:val="26"/>
                <w:szCs w:val="26"/>
              </w:rPr>
            </w:pPr>
          </w:p>
        </w:tc>
        <w:tc>
          <w:tcPr>
            <w:tcW w:w="453" w:type="pct"/>
            <w:vAlign w:val="center"/>
          </w:tcPr>
          <w:p w:rsidR="002E71CF" w:rsidRPr="008C5205" w:rsidRDefault="002E71CF" w:rsidP="008C5205">
            <w:pPr>
              <w:widowControl w:val="0"/>
              <w:spacing w:after="0"/>
              <w:jc w:val="center"/>
              <w:rPr>
                <w:rFonts w:eastAsia="Times New Roman"/>
                <w:b/>
                <w:bCs/>
                <w:sz w:val="26"/>
                <w:szCs w:val="26"/>
              </w:rPr>
            </w:pPr>
          </w:p>
        </w:tc>
      </w:tr>
      <w:tr w:rsidR="008C5205" w:rsidRPr="008C5205" w:rsidTr="00D6387E">
        <w:tc>
          <w:tcPr>
            <w:tcW w:w="206" w:type="pct"/>
            <w:shd w:val="clear" w:color="auto" w:fill="auto"/>
            <w:vAlign w:val="center"/>
          </w:tcPr>
          <w:p w:rsidR="008C5205" w:rsidRPr="008C5205" w:rsidRDefault="008C5205" w:rsidP="008C5205">
            <w:pPr>
              <w:widowControl w:val="0"/>
              <w:spacing w:after="0"/>
              <w:rPr>
                <w:rFonts w:eastAsia="Times New Roman"/>
                <w:b/>
                <w:bCs/>
                <w:sz w:val="26"/>
                <w:szCs w:val="26"/>
              </w:rPr>
            </w:pPr>
          </w:p>
        </w:tc>
        <w:tc>
          <w:tcPr>
            <w:tcW w:w="2133" w:type="pct"/>
            <w:shd w:val="clear" w:color="auto" w:fill="auto"/>
          </w:tcPr>
          <w:p w:rsidR="008C5205" w:rsidRPr="008C5205" w:rsidRDefault="008C5205" w:rsidP="008C5205">
            <w:pPr>
              <w:spacing w:after="0"/>
              <w:ind w:firstLineChars="100" w:firstLine="260"/>
              <w:jc w:val="both"/>
              <w:rPr>
                <w:sz w:val="26"/>
                <w:szCs w:val="26"/>
              </w:rPr>
            </w:pPr>
            <w:r w:rsidRPr="008C5205">
              <w:rPr>
                <w:sz w:val="26"/>
                <w:szCs w:val="26"/>
                <w:lang w:val="de-DE"/>
              </w:rPr>
              <w:t xml:space="preserve">- </w:t>
            </w:r>
            <w:r w:rsidRPr="008C5205">
              <w:rPr>
                <w:sz w:val="26"/>
                <w:szCs w:val="26"/>
                <w:lang w:val="vi-VN"/>
              </w:rPr>
              <w:t xml:space="preserve">Tại Phụ lục 1 đối với </w:t>
            </w:r>
            <w:r w:rsidRPr="008C5205">
              <w:rPr>
                <w:sz w:val="26"/>
                <w:szCs w:val="26"/>
              </w:rPr>
              <w:t xml:space="preserve">danh mục các dự án đầu tư công thuộc thẩm quyền Hội đồng nhân dân tỉnh chấp thuận mà phải thu hồi đất: </w:t>
            </w:r>
          </w:p>
          <w:p w:rsidR="008C5205" w:rsidRPr="008C5205" w:rsidRDefault="008C5205" w:rsidP="008C5205">
            <w:pPr>
              <w:widowControl w:val="0"/>
              <w:autoSpaceDE w:val="0"/>
              <w:autoSpaceDN w:val="0"/>
              <w:adjustRightInd w:val="0"/>
              <w:spacing w:after="0"/>
              <w:ind w:firstLineChars="100" w:firstLine="260"/>
              <w:jc w:val="both"/>
              <w:rPr>
                <w:sz w:val="26"/>
                <w:szCs w:val="26"/>
                <w:lang w:val="nl-NL"/>
              </w:rPr>
            </w:pPr>
            <w:r w:rsidRPr="008C5205">
              <w:rPr>
                <w:sz w:val="26"/>
                <w:szCs w:val="26"/>
                <w:lang w:val="nl-NL"/>
              </w:rPr>
              <w:t xml:space="preserve">+ </w:t>
            </w:r>
            <w:r w:rsidRPr="008C5205">
              <w:rPr>
                <w:sz w:val="26"/>
                <w:szCs w:val="26"/>
              </w:rPr>
              <w:t xml:space="preserve">Chỉ đạo rà soát </w:t>
            </w:r>
            <w:r w:rsidRPr="008C5205">
              <w:rPr>
                <w:bCs/>
                <w:sz w:val="26"/>
                <w:szCs w:val="26"/>
              </w:rPr>
              <w:t xml:space="preserve">danh mục các dự án đã được cấp thẩm quyền quyết định đầu tư; </w:t>
            </w:r>
            <w:r w:rsidRPr="008C5205">
              <w:rPr>
                <w:sz w:val="26"/>
                <w:szCs w:val="26"/>
              </w:rPr>
              <w:t xml:space="preserve">đã được ghi vốn thực hiện trong năm kế hoạch và điều chỉnh cho phù hợp. </w:t>
            </w:r>
          </w:p>
        </w:tc>
        <w:tc>
          <w:tcPr>
            <w:tcW w:w="2208" w:type="pct"/>
            <w:shd w:val="clear" w:color="auto" w:fill="auto"/>
            <w:vAlign w:val="center"/>
          </w:tcPr>
          <w:p w:rsidR="008C5205" w:rsidRPr="008C5205" w:rsidRDefault="008C5205" w:rsidP="008C5205">
            <w:pPr>
              <w:widowControl w:val="0"/>
              <w:pBdr>
                <w:top w:val="nil"/>
                <w:left w:val="nil"/>
                <w:bottom w:val="nil"/>
                <w:right w:val="nil"/>
                <w:between w:val="nil"/>
              </w:pBdr>
              <w:tabs>
                <w:tab w:val="left" w:pos="9072"/>
              </w:tabs>
              <w:spacing w:after="0"/>
              <w:ind w:firstLine="396"/>
              <w:jc w:val="both"/>
              <w:rPr>
                <w:bCs/>
                <w:color w:val="000000"/>
                <w:sz w:val="26"/>
                <w:szCs w:val="26"/>
                <w:lang w:val="vi-VN"/>
              </w:rPr>
            </w:pPr>
            <w:r w:rsidRPr="008C5205">
              <w:rPr>
                <w:color w:val="000000"/>
                <w:spacing w:val="-2"/>
                <w:sz w:val="26"/>
                <w:szCs w:val="26"/>
                <w:lang w:val="vi-VN"/>
              </w:rPr>
              <w:t xml:space="preserve">Tiếp thu, </w:t>
            </w:r>
            <w:r w:rsidRPr="008C5205">
              <w:rPr>
                <w:color w:val="000000"/>
                <w:spacing w:val="-2"/>
                <w:sz w:val="26"/>
                <w:szCs w:val="26"/>
              </w:rPr>
              <w:t>Ủy ban nhân dân tỉn</w:t>
            </w:r>
            <w:r w:rsidRPr="008C5205">
              <w:rPr>
                <w:color w:val="000000"/>
                <w:spacing w:val="-2"/>
                <w:sz w:val="26"/>
                <w:szCs w:val="26"/>
                <w:lang w:val="vi-VN"/>
              </w:rPr>
              <w:t>h đã c</w:t>
            </w:r>
            <w:r w:rsidRPr="008C5205">
              <w:rPr>
                <w:sz w:val="26"/>
                <w:szCs w:val="26"/>
              </w:rPr>
              <w:t xml:space="preserve">hỉ đạo rà soát </w:t>
            </w:r>
            <w:r w:rsidRPr="008C5205">
              <w:rPr>
                <w:bCs/>
                <w:sz w:val="26"/>
                <w:szCs w:val="26"/>
              </w:rPr>
              <w:t>danh mục các dự án đã được cấp thẩm quyền quyết định đầu tư</w:t>
            </w:r>
            <w:r w:rsidRPr="008C5205">
              <w:rPr>
                <w:bCs/>
                <w:sz w:val="26"/>
                <w:szCs w:val="26"/>
                <w:lang w:val="vi-VN"/>
              </w:rPr>
              <w:t xml:space="preserve">, qua rà soát </w:t>
            </w:r>
            <w:r w:rsidRPr="008C5205">
              <w:rPr>
                <w:sz w:val="26"/>
                <w:szCs w:val="26"/>
              </w:rPr>
              <w:t xml:space="preserve">Dự án Đường từ Quốc lộ 40B huyện Tu Mơ Rông đi thôn 8, xã Đăk  Pxi, huyện Đăk Hà </w:t>
            </w:r>
            <w:r w:rsidRPr="008C5205">
              <w:rPr>
                <w:i/>
                <w:sz w:val="26"/>
                <w:szCs w:val="26"/>
              </w:rPr>
              <w:t xml:space="preserve">(Đoạn qua địa phận huyện Đăk Hà) </w:t>
            </w:r>
            <w:r w:rsidRPr="008C5205">
              <w:rPr>
                <w:sz w:val="26"/>
                <w:szCs w:val="26"/>
              </w:rPr>
              <w:t>hiện nay chưa có văn bản ghi vốn để thực hiện dự án trong năm 2024, do đó Ủy ban nhân dân tỉnh</w:t>
            </w:r>
            <w:r w:rsidRPr="008C5205">
              <w:rPr>
                <w:sz w:val="26"/>
                <w:szCs w:val="26"/>
                <w:lang w:val="vi-VN"/>
              </w:rPr>
              <w:t xml:space="preserve"> thống nhất</w:t>
            </w:r>
            <w:r w:rsidRPr="008C5205">
              <w:rPr>
                <w:sz w:val="26"/>
                <w:szCs w:val="26"/>
              </w:rPr>
              <w:t xml:space="preserve"> chưa trình kỳ họp chuyên đề Hội đồng nhân dân tỉnh khóa XII và điều chỉnh loại ra khỏi danh mục dự án cầu thu hồi đất đang trình HĐND tỉnh theo quy định.</w:t>
            </w:r>
          </w:p>
        </w:tc>
        <w:tc>
          <w:tcPr>
            <w:tcW w:w="453" w:type="pct"/>
            <w:vAlign w:val="center"/>
          </w:tcPr>
          <w:p w:rsidR="008C5205" w:rsidRPr="0092105B" w:rsidRDefault="008C5205" w:rsidP="0092105B">
            <w:pPr>
              <w:widowControl w:val="0"/>
              <w:spacing w:after="0"/>
              <w:rPr>
                <w:rFonts w:eastAsia="Times New Roman"/>
                <w:bCs/>
                <w:sz w:val="26"/>
                <w:szCs w:val="26"/>
              </w:rPr>
            </w:pPr>
          </w:p>
        </w:tc>
      </w:tr>
      <w:tr w:rsidR="008C5205" w:rsidRPr="008C5205" w:rsidTr="00D6387E">
        <w:tc>
          <w:tcPr>
            <w:tcW w:w="206" w:type="pct"/>
            <w:shd w:val="clear" w:color="auto" w:fill="auto"/>
            <w:vAlign w:val="center"/>
          </w:tcPr>
          <w:p w:rsidR="008C5205" w:rsidRPr="008C5205" w:rsidRDefault="008C5205" w:rsidP="008C5205">
            <w:pPr>
              <w:widowControl w:val="0"/>
              <w:spacing w:after="0"/>
              <w:rPr>
                <w:rFonts w:eastAsia="Times New Roman"/>
                <w:b/>
                <w:bCs/>
                <w:sz w:val="26"/>
                <w:szCs w:val="26"/>
              </w:rPr>
            </w:pPr>
          </w:p>
        </w:tc>
        <w:tc>
          <w:tcPr>
            <w:tcW w:w="2133" w:type="pct"/>
            <w:shd w:val="clear" w:color="auto" w:fill="auto"/>
          </w:tcPr>
          <w:p w:rsidR="008C5205" w:rsidRPr="008C5205" w:rsidRDefault="008C5205" w:rsidP="008C5205">
            <w:pPr>
              <w:spacing w:after="0"/>
              <w:ind w:firstLineChars="100" w:firstLine="260"/>
              <w:jc w:val="both"/>
              <w:rPr>
                <w:sz w:val="26"/>
                <w:szCs w:val="26"/>
              </w:rPr>
            </w:pPr>
            <w:r w:rsidRPr="008C5205">
              <w:rPr>
                <w:sz w:val="26"/>
                <w:szCs w:val="26"/>
                <w:lang w:val="nl-NL"/>
              </w:rPr>
              <w:t xml:space="preserve">+ </w:t>
            </w:r>
            <w:r w:rsidRPr="008C5205">
              <w:rPr>
                <w:iCs/>
                <w:sz w:val="26"/>
                <w:szCs w:val="26"/>
              </w:rPr>
              <w:t>B</w:t>
            </w:r>
            <w:r w:rsidRPr="008C5205">
              <w:rPr>
                <w:iCs/>
                <w:sz w:val="26"/>
                <w:szCs w:val="26"/>
                <w:lang w:val="vi-VN"/>
              </w:rPr>
              <w:t xml:space="preserve">áo cáo làm rõ việc trình điều chỉnh </w:t>
            </w:r>
            <w:r w:rsidRPr="008C5205">
              <w:rPr>
                <w:iCs/>
                <w:sz w:val="26"/>
                <w:szCs w:val="26"/>
              </w:rPr>
              <w:t xml:space="preserve">giảm </w:t>
            </w:r>
            <w:r w:rsidRPr="008C5205">
              <w:rPr>
                <w:iCs/>
                <w:sz w:val="26"/>
                <w:szCs w:val="26"/>
                <w:lang w:val="vi-VN"/>
              </w:rPr>
              <w:t xml:space="preserve">diện tích đất thu hồi </w:t>
            </w:r>
            <w:r w:rsidRPr="008C5205">
              <w:rPr>
                <w:sz w:val="26"/>
                <w:szCs w:val="26"/>
                <w:lang w:val="nl-NL"/>
              </w:rPr>
              <w:t xml:space="preserve">“205,56 ha thành “199,78 ha” </w:t>
            </w:r>
            <w:r w:rsidRPr="008C5205">
              <w:rPr>
                <w:iCs/>
                <w:sz w:val="26"/>
                <w:szCs w:val="26"/>
              </w:rPr>
              <w:t xml:space="preserve">đối với </w:t>
            </w:r>
            <w:r w:rsidRPr="008C5205">
              <w:rPr>
                <w:sz w:val="26"/>
                <w:szCs w:val="26"/>
                <w:lang w:val="nl-NL"/>
              </w:rPr>
              <w:t xml:space="preserve">Dự án đầu tư xây dựng cải tạo, nâng cấp Tỉnh lộ 676 nối huyện Kon Plông, tỉnh Kon Tum với các huyện Sơn Tây, Sơn Hà, tỉnh Quảng Ngãi. </w:t>
            </w:r>
          </w:p>
          <w:p w:rsidR="008C5205" w:rsidRPr="008C5205" w:rsidRDefault="008C5205" w:rsidP="008C5205">
            <w:pPr>
              <w:widowControl w:val="0"/>
              <w:spacing w:after="0"/>
              <w:ind w:firstLineChars="100" w:firstLine="260"/>
              <w:jc w:val="both"/>
              <w:rPr>
                <w:sz w:val="26"/>
                <w:szCs w:val="26"/>
                <w:lang w:val="nl-NL"/>
              </w:rPr>
            </w:pPr>
          </w:p>
        </w:tc>
        <w:tc>
          <w:tcPr>
            <w:tcW w:w="2208" w:type="pct"/>
            <w:shd w:val="clear" w:color="auto" w:fill="auto"/>
            <w:vAlign w:val="center"/>
          </w:tcPr>
          <w:p w:rsidR="008C5205" w:rsidRPr="008C5205" w:rsidRDefault="008C5205" w:rsidP="008C5205">
            <w:pPr>
              <w:widowControl w:val="0"/>
              <w:pBdr>
                <w:top w:val="nil"/>
                <w:left w:val="nil"/>
                <w:bottom w:val="nil"/>
                <w:right w:val="nil"/>
                <w:between w:val="nil"/>
              </w:pBdr>
              <w:tabs>
                <w:tab w:val="left" w:pos="9072"/>
              </w:tabs>
              <w:spacing w:after="0"/>
              <w:ind w:firstLine="396"/>
              <w:jc w:val="both"/>
              <w:rPr>
                <w:sz w:val="26"/>
                <w:szCs w:val="26"/>
                <w:lang w:val="vi-VN"/>
              </w:rPr>
            </w:pPr>
            <w:r w:rsidRPr="008C5205">
              <w:rPr>
                <w:sz w:val="26"/>
                <w:szCs w:val="26"/>
              </w:rPr>
              <w:lastRenderedPageBreak/>
              <w:t xml:space="preserve">Dự án đầu tư xây dựng cải tạo, nâng cấp Tỉnh lộ 676 nối huyện Kon Plông, tỉnh Kon Tum với các huyện Sơn Tây, Sơn Hà, tỉnh Quảng Ngãi đã được ghi vốn thực hiện trong năm 2024 tại Quyết định số 792/QĐ-UBND ngày 28 tháng 12 năm 2023 </w:t>
            </w:r>
            <w:r w:rsidRPr="008C5205">
              <w:rPr>
                <w:sz w:val="26"/>
                <w:szCs w:val="26"/>
              </w:rPr>
              <w:lastRenderedPageBreak/>
              <w:t>của Ủy ban nhân dân tỉnh</w:t>
            </w:r>
            <w:r w:rsidRPr="008C5205">
              <w:rPr>
                <w:sz w:val="26"/>
                <w:szCs w:val="26"/>
                <w:vertAlign w:val="superscript"/>
              </w:rPr>
              <w:t>(</w:t>
            </w:r>
            <w:r w:rsidRPr="008C5205">
              <w:rPr>
                <w:rStyle w:val="FootnoteReference"/>
                <w:sz w:val="26"/>
                <w:szCs w:val="26"/>
              </w:rPr>
              <w:footnoteReference w:id="1"/>
            </w:r>
            <w:r w:rsidRPr="008C5205">
              <w:rPr>
                <w:sz w:val="26"/>
                <w:szCs w:val="26"/>
                <w:vertAlign w:val="superscript"/>
              </w:rPr>
              <w:t>)</w:t>
            </w:r>
            <w:r w:rsidRPr="008C5205">
              <w:rPr>
                <w:sz w:val="26"/>
                <w:szCs w:val="26"/>
              </w:rPr>
              <w:t xml:space="preserve"> và Quyết định số 732/QĐ UBND ngày 12</w:t>
            </w:r>
            <w:r w:rsidRPr="008C5205">
              <w:rPr>
                <w:sz w:val="26"/>
                <w:szCs w:val="26"/>
                <w:lang w:val="vi-VN"/>
              </w:rPr>
              <w:t xml:space="preserve"> tháng </w:t>
            </w:r>
            <w:r w:rsidRPr="008C5205">
              <w:rPr>
                <w:sz w:val="26"/>
                <w:szCs w:val="26"/>
              </w:rPr>
              <w:t>12</w:t>
            </w:r>
            <w:r w:rsidRPr="008C5205">
              <w:rPr>
                <w:sz w:val="26"/>
                <w:szCs w:val="26"/>
                <w:lang w:val="vi-VN"/>
              </w:rPr>
              <w:t xml:space="preserve"> năm </w:t>
            </w:r>
            <w:r w:rsidRPr="008C5205">
              <w:rPr>
                <w:sz w:val="26"/>
                <w:szCs w:val="26"/>
              </w:rPr>
              <w:t>2023 của Ủy ban nhân dân tỉnh</w:t>
            </w:r>
            <w:r w:rsidRPr="008C5205">
              <w:rPr>
                <w:sz w:val="26"/>
                <w:szCs w:val="26"/>
                <w:vertAlign w:val="superscript"/>
              </w:rPr>
              <w:t>(</w:t>
            </w:r>
            <w:r w:rsidRPr="008C5205">
              <w:rPr>
                <w:rStyle w:val="FootnoteReference"/>
                <w:sz w:val="26"/>
                <w:szCs w:val="26"/>
              </w:rPr>
              <w:footnoteReference w:id="2"/>
            </w:r>
            <w:r w:rsidRPr="008C5205">
              <w:rPr>
                <w:sz w:val="26"/>
                <w:szCs w:val="26"/>
                <w:vertAlign w:val="superscript"/>
              </w:rPr>
              <w:t>)</w:t>
            </w:r>
            <w:r w:rsidRPr="008C5205">
              <w:rPr>
                <w:sz w:val="26"/>
                <w:szCs w:val="26"/>
              </w:rPr>
              <w:t>, vì vậy đề xuất trình Hội đồng nhân dân tỉnh xem xét thông qua danh mục thu hồi đất tại kỳ họp chuyên đề lần này.</w:t>
            </w:r>
          </w:p>
          <w:p w:rsidR="008C5205" w:rsidRPr="008C5205" w:rsidRDefault="008C5205" w:rsidP="008C5205">
            <w:pPr>
              <w:widowControl w:val="0"/>
              <w:pBdr>
                <w:top w:val="nil"/>
                <w:left w:val="nil"/>
                <w:bottom w:val="nil"/>
                <w:right w:val="nil"/>
                <w:between w:val="nil"/>
              </w:pBdr>
              <w:tabs>
                <w:tab w:val="left" w:pos="9072"/>
              </w:tabs>
              <w:spacing w:after="0"/>
              <w:ind w:firstLine="396"/>
              <w:jc w:val="both"/>
              <w:rPr>
                <w:sz w:val="26"/>
                <w:szCs w:val="26"/>
                <w:lang w:val="vi-VN"/>
              </w:rPr>
            </w:pPr>
            <w:r w:rsidRPr="008C5205">
              <w:rPr>
                <w:sz w:val="26"/>
                <w:szCs w:val="26"/>
              </w:rPr>
              <w:t>Nghị quyết  số 66/NQ-HĐND ngày 09 tháng 12 năm 2021 của Hội đồng nhân dân tỉnh Kon Tum</w:t>
            </w:r>
            <w:r w:rsidRPr="008C5205">
              <w:rPr>
                <w:sz w:val="26"/>
                <w:szCs w:val="26"/>
                <w:vertAlign w:val="superscript"/>
                <w:lang w:val="vi-VN"/>
              </w:rPr>
              <w:t>(</w:t>
            </w:r>
            <w:r w:rsidRPr="008C5205">
              <w:rPr>
                <w:rStyle w:val="FootnoteReference"/>
                <w:sz w:val="26"/>
                <w:szCs w:val="26"/>
              </w:rPr>
              <w:footnoteReference w:id="3"/>
            </w:r>
            <w:r w:rsidRPr="008C5205">
              <w:rPr>
                <w:sz w:val="26"/>
                <w:szCs w:val="26"/>
                <w:vertAlign w:val="superscript"/>
                <w:lang w:val="vi-VN"/>
              </w:rPr>
              <w:t xml:space="preserve">) </w:t>
            </w:r>
            <w:r w:rsidRPr="008C5205">
              <w:rPr>
                <w:sz w:val="26"/>
                <w:szCs w:val="26"/>
              </w:rPr>
              <w:t>làm cơ sở để tiến hành thông báo thu hồi đất, xây dựng và thực hiện kế  hoạch thu hồi đất, điều tra, khảo sát, đo đạc, kiểm đếm, trong đó có Dự án đầu tư xây dựng cải tạo, nâng cấp Tỉnh lộ 676 nối huyện Kon Plông</w:t>
            </w:r>
            <w:r w:rsidRPr="008C5205">
              <w:rPr>
                <w:sz w:val="26"/>
                <w:szCs w:val="26"/>
                <w:lang w:val="vi-VN"/>
              </w:rPr>
              <w:t xml:space="preserve">, </w:t>
            </w:r>
            <w:r w:rsidRPr="008C5205">
              <w:rPr>
                <w:sz w:val="26"/>
                <w:szCs w:val="26"/>
              </w:rPr>
              <w:t xml:space="preserve">với các huyện Sơn Tây, Sơn Hà, tỉnh Quảng Ngãi. Quy mô diện tích bước đầu (205,6 ha) được đưa vào đăng ký danh mục các dự án cần thu hồi đất và các dự án có nhu cầu chuyển mục đích sử dụng đất trồng lúa, đất rừng phòng hộ </w:t>
            </w:r>
            <w:r w:rsidRPr="008C5205">
              <w:rPr>
                <w:b/>
                <w:sz w:val="26"/>
                <w:szCs w:val="26"/>
              </w:rPr>
              <w:t>chưa được đo đạc cụ th</w:t>
            </w:r>
            <w:r w:rsidRPr="008C5205">
              <w:rPr>
                <w:sz w:val="26"/>
                <w:szCs w:val="26"/>
              </w:rPr>
              <w:t>ể, chỉ tính toán ước lượng diện tích trên cơ sở chiều dài tuyến khoảng 58,75km và bề rộng trung bình 35</w:t>
            </w:r>
            <w:r w:rsidRPr="008C5205">
              <w:rPr>
                <w:sz w:val="26"/>
                <w:szCs w:val="26"/>
                <w:lang w:val="vi-VN"/>
              </w:rPr>
              <w:t>m.</w:t>
            </w:r>
            <w:r w:rsidRPr="008C5205">
              <w:rPr>
                <w:sz w:val="26"/>
                <w:szCs w:val="26"/>
              </w:rPr>
              <w:t xml:space="preserve"> </w:t>
            </w:r>
          </w:p>
          <w:p w:rsidR="008C5205" w:rsidRPr="008C5205" w:rsidRDefault="008C5205" w:rsidP="008C5205">
            <w:pPr>
              <w:spacing w:after="0"/>
              <w:ind w:firstLine="396"/>
              <w:jc w:val="both"/>
              <w:rPr>
                <w:sz w:val="26"/>
                <w:szCs w:val="26"/>
                <w:lang w:val="vi-VN"/>
              </w:rPr>
            </w:pPr>
            <w:r w:rsidRPr="008C5205">
              <w:rPr>
                <w:sz w:val="26"/>
                <w:szCs w:val="26"/>
                <w:lang w:val="vi-VN"/>
              </w:rPr>
              <w:t>Sau khi</w:t>
            </w:r>
            <w:r w:rsidRPr="008C5205">
              <w:rPr>
                <w:sz w:val="26"/>
                <w:szCs w:val="26"/>
              </w:rPr>
              <w:t xml:space="preserve"> đo đạc, đánh giá hiện trạng rừng và đất lâm nghiệp phục vụ chuyển đổi mục đích sử dụng rừng đồng thời chuyển mục đích sử dụng đất sang mục đích khác để thực hiện dự án; đo đạc bản đồ địa chính, chỉnh lý bản đồ địa chính phục vụ thu hồi đất, chuyển mục đích sử dụng đất để thực hiện bồi thường, giải phóng mặt bằng thực hiện dự án; Giai đoạn này đã có hồ sơ thiết kế bản vẽ thi công, số liệu về diện tích được đo đạc cụ thể và chi </w:t>
            </w:r>
            <w:r w:rsidRPr="008C5205">
              <w:rPr>
                <w:sz w:val="26"/>
                <w:szCs w:val="26"/>
              </w:rPr>
              <w:lastRenderedPageBreak/>
              <w:t>tiết theo từng mặt cắt ngang, vị trí chiếm dụng đất tối thiểu của tất cả các hạng mục công trình và các hạng mục công trình phụ trợ cần thiết phục vụ thi công xây dựng; đồng thời số liệu về diện tích  này đã được thể hiện cụ thể trong hồ sơ đo đạc bản đồ địa chính, đo đạc chỉnh lý bản đồ địa chính, đã được nghiệm thu, xác nhận trên bản đồ thu hồi đất phục vụ bồi  thường, giải phóng mặt bằng, đánh giá đúng nhu cầu thực tế sử dụng đất của dự án</w:t>
            </w:r>
            <w:r w:rsidRPr="008C5205">
              <w:rPr>
                <w:sz w:val="26"/>
                <w:szCs w:val="26"/>
                <w:lang w:val="vi-VN"/>
              </w:rPr>
              <w:t xml:space="preserve"> </w:t>
            </w:r>
            <w:r w:rsidRPr="008C5205">
              <w:rPr>
                <w:sz w:val="26"/>
                <w:szCs w:val="26"/>
              </w:rPr>
              <w:t>để thi công xây dựng công trình; hạn chế việc thu hồi đất lớn hơn thực tế nhu cầu xây dựng, làm ảnh hưởng đến diện tích rừng và đất rừng gây lãng phí tài nguyên đất. Nên diện tích đo đạc thực tế giảm còn 199,78 ha.</w:t>
            </w:r>
          </w:p>
          <w:p w:rsidR="008C5205" w:rsidRPr="008C5205" w:rsidRDefault="008C5205" w:rsidP="008C5205">
            <w:pPr>
              <w:widowControl w:val="0"/>
              <w:pBdr>
                <w:top w:val="nil"/>
                <w:left w:val="nil"/>
                <w:bottom w:val="nil"/>
                <w:right w:val="nil"/>
                <w:between w:val="nil"/>
              </w:pBdr>
              <w:tabs>
                <w:tab w:val="left" w:pos="9072"/>
              </w:tabs>
              <w:spacing w:after="0"/>
              <w:ind w:firstLine="396"/>
              <w:jc w:val="both"/>
              <w:rPr>
                <w:sz w:val="26"/>
                <w:szCs w:val="26"/>
                <w:lang w:val="vi-VN"/>
              </w:rPr>
            </w:pPr>
            <w:r w:rsidRPr="008C5205">
              <w:rPr>
                <w:sz w:val="26"/>
                <w:szCs w:val="26"/>
                <w:lang w:val="vi-VN"/>
              </w:rPr>
              <w:t>Đồng thời</w:t>
            </w:r>
            <w:r w:rsidRPr="008C5205">
              <w:rPr>
                <w:sz w:val="26"/>
                <w:szCs w:val="26"/>
              </w:rPr>
              <w:t xml:space="preserve"> để thống nhất số liệu trong hồ sơ chuyển đổi mục đích sử dụng rừng  phòng hộ sang mục đích khác để thực hiện dự án đã được Thủ tướng Chính phủ  chấp thuận chủ trương tại </w:t>
            </w:r>
            <w:r w:rsidRPr="008C5205">
              <w:rPr>
                <w:sz w:val="26"/>
                <w:szCs w:val="26"/>
                <w:lang w:val="vi-VN"/>
              </w:rPr>
              <w:t xml:space="preserve">Công văn </w:t>
            </w:r>
            <w:r w:rsidRPr="008C5205">
              <w:rPr>
                <w:sz w:val="26"/>
                <w:szCs w:val="26"/>
              </w:rPr>
              <w:t xml:space="preserve">số 1111/TTg-NN ngày 17 tháng 11 năm 2023 và số liệu đang trình Thủ tướng Chính phủ cho phép chuyển mục đích sử dụng </w:t>
            </w:r>
            <w:r w:rsidRPr="008C5205">
              <w:rPr>
                <w:spacing w:val="-2"/>
                <w:sz w:val="26"/>
                <w:szCs w:val="26"/>
              </w:rPr>
              <w:t>đất rừng phòng hộ đã được Bộ Tài nguyên và Môi trường thẩm định tại Văn bản số  1073/QHPTTNĐ-PGĐCTTĐ ngày 29 tháng 5 năm 2024. Việc điều chỉnh số liệu  diện tích chiếm đất của dự án từ 205,56 ha thành 199,78 ha trong Nghị quyết số 66/NQ-HĐND</w:t>
            </w:r>
            <w:r w:rsidRPr="008C5205">
              <w:rPr>
                <w:sz w:val="26"/>
                <w:szCs w:val="26"/>
              </w:rPr>
              <w:t xml:space="preserve"> ngày 09 tháng 12 năm 2021</w:t>
            </w:r>
            <w:r w:rsidRPr="008C5205">
              <w:rPr>
                <w:sz w:val="26"/>
                <w:szCs w:val="26"/>
                <w:lang w:val="vi-VN"/>
              </w:rPr>
              <w:t xml:space="preserve"> của Hội đồng nhân dân tỉnh</w:t>
            </w:r>
            <w:r w:rsidRPr="008C5205">
              <w:rPr>
                <w:sz w:val="26"/>
                <w:szCs w:val="26"/>
              </w:rPr>
              <w:t xml:space="preserve"> là cần thiết.</w:t>
            </w:r>
          </w:p>
        </w:tc>
        <w:tc>
          <w:tcPr>
            <w:tcW w:w="453" w:type="pct"/>
            <w:vAlign w:val="center"/>
          </w:tcPr>
          <w:p w:rsidR="008C5205" w:rsidRPr="008C5205" w:rsidRDefault="008C5205" w:rsidP="008C5205">
            <w:pPr>
              <w:widowControl w:val="0"/>
              <w:spacing w:after="0"/>
              <w:rPr>
                <w:rFonts w:eastAsia="Times New Roman"/>
                <w:b/>
                <w:bCs/>
                <w:sz w:val="26"/>
                <w:szCs w:val="26"/>
              </w:rPr>
            </w:pPr>
          </w:p>
        </w:tc>
      </w:tr>
      <w:tr w:rsidR="008C5205" w:rsidRPr="008C5205" w:rsidTr="00D6387E">
        <w:tc>
          <w:tcPr>
            <w:tcW w:w="206" w:type="pct"/>
            <w:shd w:val="clear" w:color="auto" w:fill="auto"/>
            <w:vAlign w:val="center"/>
          </w:tcPr>
          <w:p w:rsidR="008C5205" w:rsidRPr="008C5205" w:rsidRDefault="008C5205" w:rsidP="008C5205">
            <w:pPr>
              <w:widowControl w:val="0"/>
              <w:spacing w:after="0"/>
              <w:rPr>
                <w:rFonts w:eastAsia="Times New Roman"/>
                <w:b/>
                <w:bCs/>
                <w:sz w:val="26"/>
                <w:szCs w:val="26"/>
              </w:rPr>
            </w:pPr>
          </w:p>
        </w:tc>
        <w:tc>
          <w:tcPr>
            <w:tcW w:w="2133" w:type="pct"/>
            <w:shd w:val="clear" w:color="auto" w:fill="auto"/>
          </w:tcPr>
          <w:p w:rsidR="008C5205" w:rsidRPr="008C5205" w:rsidRDefault="008C5205" w:rsidP="008C5205">
            <w:pPr>
              <w:widowControl w:val="0"/>
              <w:autoSpaceDE w:val="0"/>
              <w:autoSpaceDN w:val="0"/>
              <w:adjustRightInd w:val="0"/>
              <w:spacing w:after="0"/>
              <w:ind w:firstLineChars="100" w:firstLine="260"/>
              <w:jc w:val="both"/>
              <w:rPr>
                <w:sz w:val="26"/>
                <w:szCs w:val="26"/>
              </w:rPr>
            </w:pPr>
            <w:r w:rsidRPr="008C5205">
              <w:rPr>
                <w:sz w:val="26"/>
                <w:szCs w:val="26"/>
              </w:rPr>
              <w:t xml:space="preserve">- Tại Phụ lục 2 đối với danh mục các dự án đầu tư công không thuộc thẩm quyền Hội đồng nhân dân tỉnh chấp thuận mà phải thu hồi đất: </w:t>
            </w:r>
          </w:p>
          <w:p w:rsidR="008C5205" w:rsidRPr="008C5205" w:rsidRDefault="008C5205" w:rsidP="008C5205">
            <w:pPr>
              <w:widowControl w:val="0"/>
              <w:autoSpaceDE w:val="0"/>
              <w:autoSpaceDN w:val="0"/>
              <w:adjustRightInd w:val="0"/>
              <w:spacing w:after="0"/>
              <w:ind w:firstLineChars="100" w:firstLine="260"/>
              <w:jc w:val="both"/>
              <w:rPr>
                <w:sz w:val="26"/>
                <w:szCs w:val="26"/>
                <w:lang w:val="nl-NL"/>
              </w:rPr>
            </w:pPr>
            <w:r w:rsidRPr="008C5205">
              <w:rPr>
                <w:sz w:val="26"/>
                <w:szCs w:val="26"/>
                <w:lang w:val="nl-NL"/>
              </w:rPr>
              <w:lastRenderedPageBreak/>
              <w:t>+ Báo cáo làm rõ nguyên nhân chậm trễ trong việc trình Hội đồng nhân dân tỉnh thông qua danh mục một số dự án cần thu hồi đất tại kỳ họp lần này</w:t>
            </w:r>
            <w:r w:rsidRPr="008C5205">
              <w:rPr>
                <w:sz w:val="26"/>
                <w:szCs w:val="26"/>
                <w:vertAlign w:val="superscript"/>
                <w:lang w:val="nl-NL"/>
              </w:rPr>
              <w:t>(</w:t>
            </w:r>
            <w:r w:rsidRPr="008C5205">
              <w:rPr>
                <w:rStyle w:val="FootnoteReference"/>
                <w:sz w:val="26"/>
                <w:szCs w:val="26"/>
                <w:lang w:val="nl-NL"/>
              </w:rPr>
              <w:footnoteReference w:id="4"/>
            </w:r>
            <w:r w:rsidRPr="008C5205">
              <w:rPr>
                <w:sz w:val="26"/>
                <w:szCs w:val="26"/>
                <w:vertAlign w:val="superscript"/>
                <w:lang w:val="nl-NL"/>
              </w:rPr>
              <w:t>)</w:t>
            </w:r>
            <w:r w:rsidRPr="008C5205">
              <w:rPr>
                <w:i/>
                <w:sz w:val="26"/>
                <w:szCs w:val="26"/>
                <w:lang w:val="nl-NL"/>
              </w:rPr>
              <w:t xml:space="preserve"> </w:t>
            </w:r>
            <w:r w:rsidRPr="008C5205">
              <w:rPr>
                <w:sz w:val="26"/>
                <w:szCs w:val="26"/>
                <w:lang w:val="nl-NL"/>
              </w:rPr>
              <w:t>mà không trình trong các kỳ họp Hội đồng nhân dân tỉnh vừa qua.</w:t>
            </w:r>
            <w:r w:rsidRPr="008C5205">
              <w:rPr>
                <w:i/>
                <w:sz w:val="26"/>
                <w:szCs w:val="26"/>
                <w:lang w:val="nl-NL"/>
              </w:rPr>
              <w:t xml:space="preserve"> </w:t>
            </w:r>
          </w:p>
        </w:tc>
        <w:tc>
          <w:tcPr>
            <w:tcW w:w="2208" w:type="pct"/>
            <w:shd w:val="clear" w:color="auto" w:fill="auto"/>
            <w:vAlign w:val="center"/>
          </w:tcPr>
          <w:p w:rsidR="008C5205" w:rsidRPr="008C5205" w:rsidRDefault="008C5205" w:rsidP="008C5205">
            <w:pPr>
              <w:widowControl w:val="0"/>
              <w:pBdr>
                <w:top w:val="nil"/>
                <w:left w:val="nil"/>
                <w:bottom w:val="nil"/>
                <w:right w:val="nil"/>
                <w:between w:val="nil"/>
              </w:pBdr>
              <w:tabs>
                <w:tab w:val="left" w:pos="9072"/>
              </w:tabs>
              <w:spacing w:after="0"/>
              <w:ind w:firstLine="396"/>
              <w:jc w:val="both"/>
              <w:rPr>
                <w:sz w:val="26"/>
                <w:szCs w:val="26"/>
              </w:rPr>
            </w:pPr>
            <w:r w:rsidRPr="008C5205">
              <w:rPr>
                <w:b/>
                <w:sz w:val="26"/>
                <w:szCs w:val="26"/>
              </w:rPr>
              <w:lastRenderedPageBreak/>
              <w:t>- Dự án sắp xếp, ổn định dân cư Làng Kđin</w:t>
            </w:r>
            <w:r w:rsidRPr="008C5205">
              <w:rPr>
                <w:sz w:val="26"/>
                <w:szCs w:val="26"/>
              </w:rPr>
              <w:t>: Căn cứ nhu cầu sử dụng đất</w:t>
            </w:r>
            <w:r w:rsidRPr="008C5205">
              <w:rPr>
                <w:sz w:val="26"/>
                <w:szCs w:val="26"/>
                <w:lang w:val="vi-VN"/>
              </w:rPr>
              <w:t xml:space="preserve"> </w:t>
            </w:r>
            <w:r w:rsidRPr="008C5205">
              <w:rPr>
                <w:sz w:val="26"/>
                <w:szCs w:val="26"/>
              </w:rPr>
              <w:t>triển khai dự án đầu tư công trên địa bàn tỉnh, ngày 12 tháng 4 năm 2024</w:t>
            </w:r>
            <w:r w:rsidRPr="008C5205">
              <w:rPr>
                <w:sz w:val="26"/>
                <w:szCs w:val="26"/>
                <w:lang w:val="vi-VN"/>
              </w:rPr>
              <w:t xml:space="preserve">, </w:t>
            </w:r>
            <w:r w:rsidRPr="008C5205">
              <w:rPr>
                <w:sz w:val="26"/>
                <w:szCs w:val="26"/>
              </w:rPr>
              <w:t xml:space="preserve">Ủy ban nhân dân tỉnh đã ban hành Công văn số 1263/UBND-KTTH </w:t>
            </w:r>
            <w:r w:rsidRPr="008C5205">
              <w:rPr>
                <w:sz w:val="26"/>
                <w:szCs w:val="26"/>
                <w:lang w:val="vi-VN"/>
              </w:rPr>
              <w:t>báo cáo đề xuất</w:t>
            </w:r>
            <w:r w:rsidRPr="008C5205">
              <w:rPr>
                <w:sz w:val="26"/>
                <w:szCs w:val="26"/>
              </w:rPr>
              <w:t xml:space="preserve"> thời gian tổ </w:t>
            </w:r>
            <w:r w:rsidRPr="008C5205">
              <w:rPr>
                <w:sz w:val="26"/>
                <w:szCs w:val="26"/>
              </w:rPr>
              <w:lastRenderedPageBreak/>
              <w:t>chức kỳ họp chuyên đề Hội đồng nhân dân tỉnh Khóa XII vào ngày 25 tháng 4 năm 2024</w:t>
            </w:r>
            <w:r w:rsidRPr="008C5205">
              <w:rPr>
                <w:sz w:val="26"/>
                <w:szCs w:val="26"/>
                <w:lang w:val="vi-VN"/>
              </w:rPr>
              <w:t xml:space="preserve">. Tuy nhiên, Ủy ban nhân dân huyện Sa Thầy </w:t>
            </w:r>
            <w:r w:rsidRPr="008C5205">
              <w:rPr>
                <w:sz w:val="26"/>
                <w:szCs w:val="26"/>
              </w:rPr>
              <w:t xml:space="preserve">giao dự toán ngân sách Trung ương thực hiện các Chương trình mục tiêu quốc gia năm 2024 trên địa bàn huyện Sa Thầy </w:t>
            </w:r>
            <w:r w:rsidRPr="008C5205">
              <w:rPr>
                <w:i/>
                <w:sz w:val="26"/>
                <w:szCs w:val="26"/>
              </w:rPr>
              <w:t>(lần 2)</w:t>
            </w:r>
            <w:r w:rsidRPr="008C5205">
              <w:rPr>
                <w:sz w:val="26"/>
                <w:szCs w:val="26"/>
                <w:lang w:val="vi-VN"/>
              </w:rPr>
              <w:t xml:space="preserve"> tại </w:t>
            </w:r>
            <w:r w:rsidRPr="008C5205">
              <w:rPr>
                <w:sz w:val="26"/>
                <w:szCs w:val="26"/>
              </w:rPr>
              <w:t>Quyết  định số 765/QĐ-UBND</w:t>
            </w:r>
            <w:r w:rsidRPr="008C5205">
              <w:rPr>
                <w:sz w:val="26"/>
                <w:szCs w:val="26"/>
                <w:lang w:val="vi-VN"/>
              </w:rPr>
              <w:t xml:space="preserve"> n</w:t>
            </w:r>
            <w:r w:rsidRPr="008C5205">
              <w:rPr>
                <w:sz w:val="26"/>
                <w:szCs w:val="26"/>
              </w:rPr>
              <w:t>gày 12 tháng 4 năm 2024</w:t>
            </w:r>
            <w:r w:rsidRPr="008C5205">
              <w:rPr>
                <w:sz w:val="26"/>
                <w:szCs w:val="26"/>
                <w:lang w:val="vi-VN"/>
              </w:rPr>
              <w:t>,  vì vậy, t</w:t>
            </w:r>
            <w:r w:rsidRPr="008C5205">
              <w:rPr>
                <w:rFonts w:eastAsia="Times New Roman"/>
                <w:color w:val="000000"/>
                <w:sz w:val="26"/>
                <w:szCs w:val="26"/>
              </w:rPr>
              <w:t xml:space="preserve">hời điểm </w:t>
            </w:r>
            <w:r w:rsidRPr="008C5205">
              <w:rPr>
                <w:rFonts w:eastAsia="Times New Roman"/>
                <w:color w:val="000000"/>
                <w:sz w:val="26"/>
                <w:szCs w:val="26"/>
                <w:lang w:val="vi-VN"/>
              </w:rPr>
              <w:t xml:space="preserve">địa phương </w:t>
            </w:r>
            <w:r w:rsidRPr="008C5205">
              <w:rPr>
                <w:rFonts w:eastAsia="Times New Roman"/>
                <w:color w:val="000000"/>
                <w:sz w:val="26"/>
                <w:szCs w:val="26"/>
              </w:rPr>
              <w:t xml:space="preserve">ban hành </w:t>
            </w:r>
            <w:r w:rsidRPr="008C5205">
              <w:rPr>
                <w:rFonts w:eastAsia="Times New Roman"/>
                <w:color w:val="000000"/>
                <w:sz w:val="26"/>
                <w:szCs w:val="26"/>
                <w:lang w:val="vi-VN"/>
              </w:rPr>
              <w:t>q</w:t>
            </w:r>
            <w:r w:rsidRPr="008C5205">
              <w:rPr>
                <w:rFonts w:eastAsia="Times New Roman"/>
                <w:color w:val="000000"/>
                <w:sz w:val="26"/>
                <w:szCs w:val="26"/>
              </w:rPr>
              <w:t>uyết định phân bổ</w:t>
            </w:r>
            <w:r w:rsidRPr="008C5205">
              <w:rPr>
                <w:rFonts w:eastAsia="Times New Roman"/>
                <w:color w:val="000000"/>
                <w:sz w:val="26"/>
                <w:szCs w:val="26"/>
                <w:lang w:val="vi-VN"/>
              </w:rPr>
              <w:t xml:space="preserve"> </w:t>
            </w:r>
            <w:r w:rsidRPr="008C5205">
              <w:rPr>
                <w:rFonts w:eastAsia="Times New Roman"/>
                <w:color w:val="000000"/>
                <w:sz w:val="26"/>
                <w:szCs w:val="26"/>
              </w:rPr>
              <w:t>vốn để thực hiện dự án sau thời điểm phải hoàn thiện hồ sơ trình Hội đồng nhân dân tỉnh tại kỳ họp chuyên đề tháng 4 năm 2024</w:t>
            </w:r>
            <w:r w:rsidRPr="008C5205">
              <w:rPr>
                <w:rFonts w:eastAsia="Times New Roman"/>
                <w:color w:val="000000"/>
                <w:sz w:val="26"/>
                <w:szCs w:val="26"/>
                <w:lang w:val="vi-VN"/>
              </w:rPr>
              <w:t xml:space="preserve">, </w:t>
            </w:r>
            <w:r w:rsidRPr="008C5205">
              <w:rPr>
                <w:rFonts w:eastAsia="Times New Roman"/>
                <w:color w:val="000000"/>
                <w:sz w:val="26"/>
                <w:szCs w:val="26"/>
              </w:rPr>
              <w:t xml:space="preserve">do đó chưa đủ điều kiện để trình  </w:t>
            </w:r>
            <w:r w:rsidRPr="008C5205">
              <w:rPr>
                <w:sz w:val="26"/>
                <w:szCs w:val="26"/>
              </w:rPr>
              <w:t>tại kỳ họp chuyên đề tháng 4/2024. Vì vậy việc trình danh mục thu hồi đất Dự  án sắp xếp, ổn định dân cư Làng Kđin t</w:t>
            </w:r>
            <w:r w:rsidRPr="008C5205">
              <w:rPr>
                <w:sz w:val="26"/>
                <w:szCs w:val="26"/>
                <w:lang w:val="vi-VN"/>
              </w:rPr>
              <w:t xml:space="preserve">ại </w:t>
            </w:r>
            <w:r w:rsidRPr="008C5205">
              <w:rPr>
                <w:sz w:val="26"/>
                <w:szCs w:val="26"/>
              </w:rPr>
              <w:t xml:space="preserve">kỳ họp </w:t>
            </w:r>
            <w:r w:rsidRPr="008C5205">
              <w:rPr>
                <w:sz w:val="26"/>
                <w:szCs w:val="26"/>
                <w:lang w:val="vi-VN"/>
              </w:rPr>
              <w:t xml:space="preserve">chuyên đề lần này </w:t>
            </w:r>
            <w:r w:rsidRPr="008C5205">
              <w:rPr>
                <w:sz w:val="26"/>
                <w:szCs w:val="26"/>
              </w:rPr>
              <w:t xml:space="preserve">là phù hợp. </w:t>
            </w:r>
          </w:p>
          <w:p w:rsidR="008C5205" w:rsidRPr="008C5205" w:rsidRDefault="008C5205" w:rsidP="008C5205">
            <w:pPr>
              <w:widowControl w:val="0"/>
              <w:spacing w:after="0"/>
              <w:ind w:firstLine="396"/>
              <w:jc w:val="both"/>
              <w:rPr>
                <w:color w:val="000000"/>
                <w:spacing w:val="-2"/>
                <w:sz w:val="26"/>
                <w:szCs w:val="26"/>
              </w:rPr>
            </w:pPr>
            <w:r w:rsidRPr="008C5205">
              <w:rPr>
                <w:b/>
                <w:sz w:val="26"/>
                <w:szCs w:val="26"/>
              </w:rPr>
              <w:t>- Dự án Trường mầm non xã Măng Ri:</w:t>
            </w:r>
            <w:r w:rsidRPr="008C5205">
              <w:rPr>
                <w:sz w:val="26"/>
                <w:szCs w:val="26"/>
              </w:rPr>
              <w:t xml:space="preserve"> Đã được H</w:t>
            </w:r>
            <w:r w:rsidRPr="008C5205">
              <w:rPr>
                <w:sz w:val="26"/>
                <w:szCs w:val="26"/>
                <w:lang w:val="vi-VN"/>
              </w:rPr>
              <w:t>ội đ</w:t>
            </w:r>
            <w:r w:rsidRPr="008C5205">
              <w:rPr>
                <w:sz w:val="26"/>
                <w:szCs w:val="26"/>
              </w:rPr>
              <w:t>ồng</w:t>
            </w:r>
            <w:r w:rsidRPr="008C5205">
              <w:rPr>
                <w:sz w:val="26"/>
                <w:szCs w:val="26"/>
                <w:lang w:val="vi-VN"/>
              </w:rPr>
              <w:t xml:space="preserve"> nhân dân</w:t>
            </w:r>
            <w:r w:rsidRPr="008C5205">
              <w:rPr>
                <w:sz w:val="26"/>
                <w:szCs w:val="26"/>
              </w:rPr>
              <w:t xml:space="preserve"> tỉnh thông qua danh mục thu hồi đất năm 2024 tại N</w:t>
            </w:r>
            <w:r w:rsidRPr="008C5205">
              <w:rPr>
                <w:sz w:val="26"/>
                <w:szCs w:val="26"/>
                <w:lang w:val="vi-VN"/>
              </w:rPr>
              <w:t>ghị quyết</w:t>
            </w:r>
            <w:r w:rsidRPr="008C5205">
              <w:rPr>
                <w:sz w:val="26"/>
                <w:szCs w:val="26"/>
              </w:rPr>
              <w:t xml:space="preserve"> số 73/NQ-HĐND ngày 13</w:t>
            </w:r>
            <w:r w:rsidRPr="008C5205">
              <w:rPr>
                <w:sz w:val="26"/>
                <w:szCs w:val="26"/>
                <w:lang w:val="vi-VN"/>
              </w:rPr>
              <w:t xml:space="preserve"> tháng </w:t>
            </w:r>
            <w:r w:rsidRPr="008C5205">
              <w:rPr>
                <w:sz w:val="26"/>
                <w:szCs w:val="26"/>
              </w:rPr>
              <w:t>12</w:t>
            </w:r>
            <w:r w:rsidRPr="008C5205">
              <w:rPr>
                <w:sz w:val="26"/>
                <w:szCs w:val="26"/>
                <w:lang w:val="vi-VN"/>
              </w:rPr>
              <w:t xml:space="preserve"> năm </w:t>
            </w:r>
            <w:r w:rsidRPr="008C5205">
              <w:rPr>
                <w:sz w:val="26"/>
                <w:szCs w:val="26"/>
              </w:rPr>
              <w:t xml:space="preserve">2023 với diện tích là 0,19ha, trong quá trình thực hiện huyện Tu  Mơ Rông đề xuất mở rộng thêm 0,3 ha để đầu tư thêm một số hạng mục phục vụ  cho việc dạy học của trường, nên </w:t>
            </w:r>
            <w:r w:rsidRPr="008C5205">
              <w:rPr>
                <w:sz w:val="26"/>
                <w:szCs w:val="26"/>
                <w:lang w:val="vi-VN"/>
              </w:rPr>
              <w:t>Ủy ban nhân dân</w:t>
            </w:r>
            <w:r w:rsidRPr="008C5205">
              <w:rPr>
                <w:sz w:val="26"/>
                <w:szCs w:val="26"/>
              </w:rPr>
              <w:t xml:space="preserve"> huyện Tu Mơ Rông mới đăng ký trình Hội đồng nhân dân tỉnh thông qua danh mục thu hồi đất  làm cơ sở để sử dụng đất thực hiện dự án.  </w:t>
            </w:r>
          </w:p>
        </w:tc>
        <w:tc>
          <w:tcPr>
            <w:tcW w:w="453" w:type="pct"/>
            <w:vAlign w:val="center"/>
          </w:tcPr>
          <w:p w:rsidR="008C5205" w:rsidRPr="008C5205" w:rsidRDefault="008C5205" w:rsidP="008C5205">
            <w:pPr>
              <w:widowControl w:val="0"/>
              <w:spacing w:after="0"/>
              <w:rPr>
                <w:rFonts w:eastAsia="Times New Roman"/>
                <w:b/>
                <w:bCs/>
                <w:sz w:val="26"/>
                <w:szCs w:val="26"/>
              </w:rPr>
            </w:pPr>
          </w:p>
        </w:tc>
      </w:tr>
      <w:tr w:rsidR="008C5205" w:rsidRPr="008C5205" w:rsidTr="00D6387E">
        <w:tc>
          <w:tcPr>
            <w:tcW w:w="206" w:type="pct"/>
            <w:shd w:val="clear" w:color="auto" w:fill="auto"/>
            <w:vAlign w:val="center"/>
          </w:tcPr>
          <w:p w:rsidR="008C5205" w:rsidRPr="008C5205" w:rsidRDefault="008C5205" w:rsidP="008C5205">
            <w:pPr>
              <w:widowControl w:val="0"/>
              <w:spacing w:after="0"/>
              <w:rPr>
                <w:rFonts w:eastAsia="Times New Roman"/>
                <w:b/>
                <w:bCs/>
                <w:sz w:val="26"/>
                <w:szCs w:val="26"/>
              </w:rPr>
            </w:pPr>
          </w:p>
        </w:tc>
        <w:tc>
          <w:tcPr>
            <w:tcW w:w="2133" w:type="pct"/>
            <w:shd w:val="clear" w:color="auto" w:fill="auto"/>
          </w:tcPr>
          <w:p w:rsidR="008C5205" w:rsidRPr="008C5205" w:rsidRDefault="008C5205" w:rsidP="008C5205">
            <w:pPr>
              <w:widowControl w:val="0"/>
              <w:autoSpaceDE w:val="0"/>
              <w:autoSpaceDN w:val="0"/>
              <w:adjustRightInd w:val="0"/>
              <w:spacing w:after="0"/>
              <w:ind w:firstLineChars="100" w:firstLine="260"/>
              <w:jc w:val="both"/>
              <w:rPr>
                <w:sz w:val="26"/>
                <w:szCs w:val="26"/>
                <w:lang w:val="nl-NL"/>
              </w:rPr>
            </w:pPr>
            <w:r w:rsidRPr="008C5205">
              <w:rPr>
                <w:sz w:val="26"/>
                <w:szCs w:val="26"/>
                <w:lang w:val="nl-NL"/>
              </w:rPr>
              <w:t xml:space="preserve">+ </w:t>
            </w:r>
            <w:r w:rsidRPr="008C5205">
              <w:rPr>
                <w:sz w:val="26"/>
                <w:szCs w:val="26"/>
              </w:rPr>
              <w:t xml:space="preserve">Đề nghị Ủy ban nhân dân tỉnh chỉ đạo rà soát lại các danh mục dự án cần thu hồi đất đã trình, đảm </w:t>
            </w:r>
            <w:r w:rsidRPr="008C5205">
              <w:rPr>
                <w:sz w:val="26"/>
                <w:szCs w:val="26"/>
                <w:lang w:val="vi-VN"/>
              </w:rPr>
              <w:t>bả</w:t>
            </w:r>
            <w:r w:rsidRPr="008C5205">
              <w:rPr>
                <w:sz w:val="26"/>
                <w:szCs w:val="26"/>
              </w:rPr>
              <w:t>o đủ điều kiện theo qu</w:t>
            </w:r>
            <w:r w:rsidRPr="008C5205">
              <w:rPr>
                <w:sz w:val="26"/>
                <w:szCs w:val="26"/>
                <w:lang w:val="vi-VN"/>
              </w:rPr>
              <w:t>y</w:t>
            </w:r>
            <w:r w:rsidRPr="008C5205">
              <w:rPr>
                <w:sz w:val="26"/>
                <w:szCs w:val="26"/>
              </w:rPr>
              <w:t xml:space="preserve"> định của pháp luật, bổ sung vào kế hoạch sử dụng đất hàng năm cấp huyện, trình cấp thẩm quyền phê duyệt.</w:t>
            </w:r>
          </w:p>
        </w:tc>
        <w:tc>
          <w:tcPr>
            <w:tcW w:w="2208" w:type="pct"/>
            <w:shd w:val="clear" w:color="auto" w:fill="auto"/>
            <w:vAlign w:val="center"/>
          </w:tcPr>
          <w:p w:rsidR="008C5205" w:rsidRPr="008C5205" w:rsidRDefault="008C5205" w:rsidP="008C5205">
            <w:pPr>
              <w:widowControl w:val="0"/>
              <w:spacing w:after="0"/>
              <w:ind w:firstLine="396"/>
              <w:jc w:val="both"/>
              <w:rPr>
                <w:color w:val="000000"/>
                <w:spacing w:val="-2"/>
                <w:sz w:val="26"/>
                <w:szCs w:val="26"/>
                <w:lang w:val="vi-VN"/>
              </w:rPr>
            </w:pPr>
            <w:r w:rsidRPr="008C5205">
              <w:rPr>
                <w:color w:val="000000"/>
                <w:spacing w:val="-2"/>
                <w:sz w:val="26"/>
                <w:szCs w:val="26"/>
              </w:rPr>
              <w:t xml:space="preserve">Tiếp thu, Ủy ban nhân dân tỉnh </w:t>
            </w:r>
            <w:r w:rsidRPr="008C5205">
              <w:rPr>
                <w:color w:val="000000"/>
                <w:spacing w:val="-2"/>
                <w:sz w:val="26"/>
                <w:szCs w:val="26"/>
                <w:lang w:val="vi-VN"/>
              </w:rPr>
              <w:t xml:space="preserve">đã chỉ đạo các sở, ngành, địa phương triển khai thực hiện </w:t>
            </w:r>
            <w:r w:rsidRPr="008C5205">
              <w:rPr>
                <w:sz w:val="26"/>
                <w:szCs w:val="26"/>
                <w:lang w:val="vi-VN"/>
              </w:rPr>
              <w:t>theo đúng quy định pháp luật</w:t>
            </w:r>
          </w:p>
        </w:tc>
        <w:tc>
          <w:tcPr>
            <w:tcW w:w="453" w:type="pct"/>
            <w:vAlign w:val="center"/>
          </w:tcPr>
          <w:p w:rsidR="008C5205" w:rsidRPr="008C5205" w:rsidRDefault="008C5205" w:rsidP="008C5205">
            <w:pPr>
              <w:widowControl w:val="0"/>
              <w:spacing w:after="0"/>
              <w:rPr>
                <w:rFonts w:eastAsia="Times New Roman"/>
                <w:b/>
                <w:bCs/>
                <w:sz w:val="26"/>
                <w:szCs w:val="26"/>
              </w:rPr>
            </w:pPr>
          </w:p>
        </w:tc>
      </w:tr>
      <w:tr w:rsidR="008C5205" w:rsidRPr="008C5205" w:rsidTr="00D6387E">
        <w:tc>
          <w:tcPr>
            <w:tcW w:w="206" w:type="pct"/>
            <w:shd w:val="clear" w:color="auto" w:fill="auto"/>
            <w:vAlign w:val="center"/>
          </w:tcPr>
          <w:p w:rsidR="008C5205" w:rsidRPr="008C5205" w:rsidRDefault="008C5205" w:rsidP="008C5205">
            <w:pPr>
              <w:widowControl w:val="0"/>
              <w:spacing w:after="0"/>
              <w:rPr>
                <w:rFonts w:eastAsia="Times New Roman"/>
                <w:b/>
                <w:bCs/>
                <w:sz w:val="26"/>
                <w:szCs w:val="26"/>
              </w:rPr>
            </w:pPr>
          </w:p>
        </w:tc>
        <w:tc>
          <w:tcPr>
            <w:tcW w:w="2133" w:type="pct"/>
            <w:shd w:val="clear" w:color="auto" w:fill="auto"/>
          </w:tcPr>
          <w:p w:rsidR="008C5205" w:rsidRPr="008C5205" w:rsidRDefault="008C5205" w:rsidP="008C5205">
            <w:pPr>
              <w:widowControl w:val="0"/>
              <w:autoSpaceDE w:val="0"/>
              <w:autoSpaceDN w:val="0"/>
              <w:adjustRightInd w:val="0"/>
              <w:spacing w:after="0"/>
              <w:ind w:firstLineChars="100" w:firstLine="260"/>
              <w:jc w:val="both"/>
              <w:rPr>
                <w:sz w:val="26"/>
                <w:szCs w:val="26"/>
                <w:lang w:val="nl-NL"/>
              </w:rPr>
            </w:pPr>
            <w:r w:rsidRPr="008C5205">
              <w:rPr>
                <w:sz w:val="26"/>
                <w:szCs w:val="26"/>
              </w:rPr>
              <w:t>-</w:t>
            </w:r>
            <w:r w:rsidRPr="008C5205">
              <w:rPr>
                <w:sz w:val="26"/>
                <w:szCs w:val="26"/>
                <w:lang w:val="vi-VN"/>
              </w:rPr>
              <w:t xml:space="preserve"> </w:t>
            </w:r>
            <w:r w:rsidRPr="008C5205">
              <w:rPr>
                <w:sz w:val="26"/>
                <w:szCs w:val="26"/>
              </w:rPr>
              <w:t xml:space="preserve">Chịu trách nhiệm về tính chính xác của thông tin, số liệu báo cáo; căn cứ pháp lý của các dự án theo quy định của pháp luật; </w:t>
            </w:r>
            <w:r w:rsidRPr="008C5205">
              <w:rPr>
                <w:sz w:val="26"/>
                <w:szCs w:val="26"/>
                <w:lang w:val="vi-VN"/>
              </w:rPr>
              <w:t>r</w:t>
            </w:r>
            <w:r w:rsidRPr="008C5205">
              <w:rPr>
                <w:sz w:val="26"/>
                <w:szCs w:val="26"/>
              </w:rPr>
              <w:t>à soát, cập nhật bổ sung các cơ sở pháp lý theo quy định. Đối với việc bố trí vốn ngân sách nhà nước cấp cho việc bồi thường, giải phóng mặt bằng, đề nghị Ủy ban nhân dân tỉnh chỉ đạo thực hiện đúng theo quy định.</w:t>
            </w:r>
          </w:p>
        </w:tc>
        <w:tc>
          <w:tcPr>
            <w:tcW w:w="2208" w:type="pct"/>
            <w:shd w:val="clear" w:color="auto" w:fill="auto"/>
            <w:vAlign w:val="center"/>
          </w:tcPr>
          <w:p w:rsidR="008C5205" w:rsidRPr="008C5205" w:rsidRDefault="008C5205" w:rsidP="008C5205">
            <w:pPr>
              <w:widowControl w:val="0"/>
              <w:spacing w:after="0"/>
              <w:ind w:firstLine="396"/>
              <w:jc w:val="both"/>
              <w:rPr>
                <w:color w:val="000000"/>
                <w:spacing w:val="-2"/>
                <w:sz w:val="26"/>
                <w:szCs w:val="26"/>
              </w:rPr>
            </w:pPr>
            <w:r w:rsidRPr="008C5205">
              <w:rPr>
                <w:color w:val="000000"/>
                <w:spacing w:val="-2"/>
                <w:sz w:val="26"/>
                <w:szCs w:val="26"/>
              </w:rPr>
              <w:t xml:space="preserve">Tiếp thu, Ủy ban nhân dân tỉnh </w:t>
            </w:r>
            <w:r w:rsidRPr="008C5205">
              <w:rPr>
                <w:color w:val="000000"/>
                <w:spacing w:val="-2"/>
                <w:sz w:val="26"/>
                <w:szCs w:val="26"/>
                <w:lang w:val="vi-VN"/>
              </w:rPr>
              <w:t xml:space="preserve">đã chỉ đạo các sở, ngành, địa phương triển khai thực hiện </w:t>
            </w:r>
            <w:r w:rsidRPr="008C5205">
              <w:rPr>
                <w:sz w:val="26"/>
                <w:szCs w:val="26"/>
                <w:lang w:val="vi-VN"/>
              </w:rPr>
              <w:t>theo đúng quy định pháp luật</w:t>
            </w:r>
          </w:p>
        </w:tc>
        <w:tc>
          <w:tcPr>
            <w:tcW w:w="453" w:type="pct"/>
            <w:vAlign w:val="center"/>
          </w:tcPr>
          <w:p w:rsidR="008C5205" w:rsidRPr="008C5205" w:rsidRDefault="008C5205" w:rsidP="008C5205">
            <w:pPr>
              <w:widowControl w:val="0"/>
              <w:spacing w:after="0"/>
              <w:rPr>
                <w:rFonts w:eastAsia="Times New Roman"/>
                <w:b/>
                <w:bCs/>
                <w:sz w:val="26"/>
                <w:szCs w:val="26"/>
              </w:rPr>
            </w:pPr>
          </w:p>
        </w:tc>
      </w:tr>
      <w:tr w:rsidR="008C5205" w:rsidRPr="008C5205" w:rsidTr="00D6387E">
        <w:tc>
          <w:tcPr>
            <w:tcW w:w="206" w:type="pct"/>
            <w:shd w:val="clear" w:color="auto" w:fill="auto"/>
            <w:vAlign w:val="center"/>
          </w:tcPr>
          <w:p w:rsidR="008C5205" w:rsidRPr="008C5205" w:rsidRDefault="008C5205" w:rsidP="008C5205">
            <w:pPr>
              <w:widowControl w:val="0"/>
              <w:spacing w:after="0"/>
              <w:rPr>
                <w:rFonts w:eastAsia="Times New Roman"/>
                <w:b/>
                <w:bCs/>
                <w:sz w:val="26"/>
                <w:szCs w:val="26"/>
              </w:rPr>
            </w:pPr>
          </w:p>
        </w:tc>
        <w:tc>
          <w:tcPr>
            <w:tcW w:w="2133" w:type="pct"/>
            <w:shd w:val="clear" w:color="auto" w:fill="auto"/>
          </w:tcPr>
          <w:p w:rsidR="008C5205" w:rsidRPr="008C5205" w:rsidRDefault="008C5205" w:rsidP="008C5205">
            <w:pPr>
              <w:widowControl w:val="0"/>
              <w:autoSpaceDE w:val="0"/>
              <w:autoSpaceDN w:val="0"/>
              <w:adjustRightInd w:val="0"/>
              <w:spacing w:after="0"/>
              <w:ind w:firstLineChars="100" w:firstLine="260"/>
              <w:jc w:val="both"/>
              <w:rPr>
                <w:sz w:val="26"/>
                <w:szCs w:val="26"/>
                <w:lang w:val="nl-NL"/>
              </w:rPr>
            </w:pPr>
            <w:r w:rsidRPr="008C5205">
              <w:rPr>
                <w:sz w:val="26"/>
                <w:szCs w:val="26"/>
                <w:lang w:val="nl-NL"/>
              </w:rPr>
              <w:t xml:space="preserve">- Rà soát, hoàn chỉnh dự thảo Nghị quyết trình Hội đồng nhân dân tỉnh xem xét, quyết định. </w:t>
            </w:r>
          </w:p>
        </w:tc>
        <w:tc>
          <w:tcPr>
            <w:tcW w:w="2208" w:type="pct"/>
            <w:shd w:val="clear" w:color="auto" w:fill="auto"/>
            <w:vAlign w:val="center"/>
          </w:tcPr>
          <w:p w:rsidR="008C5205" w:rsidRPr="008C5205" w:rsidRDefault="008C5205" w:rsidP="008C5205">
            <w:pPr>
              <w:widowControl w:val="0"/>
              <w:shd w:val="clear" w:color="auto" w:fill="FFFFFF"/>
              <w:spacing w:after="0"/>
              <w:ind w:firstLine="396"/>
              <w:jc w:val="both"/>
              <w:rPr>
                <w:i/>
                <w:spacing w:val="6"/>
                <w:sz w:val="26"/>
                <w:szCs w:val="26"/>
                <w:lang w:val="vi-VN"/>
              </w:rPr>
            </w:pPr>
            <w:r w:rsidRPr="008C5205">
              <w:rPr>
                <w:color w:val="000000"/>
                <w:spacing w:val="-2"/>
                <w:sz w:val="26"/>
                <w:szCs w:val="26"/>
              </w:rPr>
              <w:t>Tiếp thu, Ủy ban nhân dân tỉnh đã rà soát, hoàn chỉnh dự thảo Nghị quyết</w:t>
            </w:r>
          </w:p>
        </w:tc>
        <w:tc>
          <w:tcPr>
            <w:tcW w:w="453" w:type="pct"/>
            <w:vAlign w:val="center"/>
          </w:tcPr>
          <w:p w:rsidR="008C5205" w:rsidRPr="008C5205" w:rsidRDefault="008C5205" w:rsidP="008C5205">
            <w:pPr>
              <w:widowControl w:val="0"/>
              <w:spacing w:after="0"/>
              <w:rPr>
                <w:rFonts w:eastAsia="Times New Roman"/>
                <w:b/>
                <w:bCs/>
                <w:sz w:val="26"/>
                <w:szCs w:val="26"/>
              </w:rPr>
            </w:pPr>
          </w:p>
        </w:tc>
      </w:tr>
    </w:tbl>
    <w:p w:rsidR="002E71CF" w:rsidRDefault="002E71CF">
      <w:pPr>
        <w:widowControl w:val="0"/>
        <w:rPr>
          <w:sz w:val="26"/>
          <w:szCs w:val="26"/>
        </w:rPr>
      </w:pPr>
    </w:p>
    <w:sectPr w:rsidR="002E71CF">
      <w:headerReference w:type="default" r:id="rId8"/>
      <w:footerReference w:type="default" r:id="rId9"/>
      <w:pgSz w:w="16840" w:h="11907" w:orient="landscape"/>
      <w:pgMar w:top="851" w:right="851" w:bottom="709" w:left="709" w:header="720" w:footer="39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354" w:rsidRDefault="00251354">
      <w:pPr>
        <w:spacing w:before="0" w:after="0"/>
      </w:pPr>
      <w:r>
        <w:separator/>
      </w:r>
    </w:p>
  </w:endnote>
  <w:endnote w:type="continuationSeparator" w:id="0">
    <w:p w:rsidR="00251354" w:rsidRDefault="002513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CF" w:rsidRDefault="002E71CF">
    <w:pPr>
      <w:pStyle w:val="Footer"/>
    </w:pPr>
  </w:p>
  <w:p w:rsidR="002E71CF" w:rsidRDefault="002E71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354" w:rsidRDefault="00251354">
      <w:pPr>
        <w:spacing w:before="0" w:after="0"/>
      </w:pPr>
      <w:r>
        <w:separator/>
      </w:r>
    </w:p>
  </w:footnote>
  <w:footnote w:type="continuationSeparator" w:id="0">
    <w:p w:rsidR="00251354" w:rsidRDefault="00251354">
      <w:pPr>
        <w:spacing w:before="0" w:after="0"/>
      </w:pPr>
      <w:r>
        <w:continuationSeparator/>
      </w:r>
    </w:p>
  </w:footnote>
  <w:footnote w:id="1">
    <w:p w:rsidR="008C5205" w:rsidRPr="00CD6215" w:rsidRDefault="008C5205" w:rsidP="008C5205">
      <w:pPr>
        <w:pStyle w:val="FootnoteText"/>
        <w:rPr>
          <w:sz w:val="18"/>
          <w:szCs w:val="18"/>
        </w:rPr>
      </w:pPr>
      <w:r w:rsidRPr="00CD6215">
        <w:rPr>
          <w:sz w:val="18"/>
          <w:szCs w:val="18"/>
          <w:vertAlign w:val="superscript"/>
        </w:rPr>
        <w:t>(</w:t>
      </w:r>
      <w:r w:rsidRPr="00CD6215">
        <w:rPr>
          <w:rStyle w:val="FootnoteReference"/>
          <w:sz w:val="18"/>
          <w:szCs w:val="18"/>
        </w:rPr>
        <w:footnoteRef/>
      </w:r>
      <w:r w:rsidRPr="00CD6215">
        <w:rPr>
          <w:sz w:val="18"/>
          <w:szCs w:val="18"/>
          <w:vertAlign w:val="superscript"/>
        </w:rPr>
        <w:t>)</w:t>
      </w:r>
      <w:r w:rsidRPr="00CD6215">
        <w:rPr>
          <w:sz w:val="18"/>
          <w:szCs w:val="18"/>
        </w:rPr>
        <w:t xml:space="preserve"> Giao chi tiết kế hoạch đầu tư công  nguồn ngân sách Trung ương năm 2024 tỉnh Kon Tum</w:t>
      </w:r>
    </w:p>
  </w:footnote>
  <w:footnote w:id="2">
    <w:p w:rsidR="008C5205" w:rsidRDefault="008C5205" w:rsidP="008C5205">
      <w:pPr>
        <w:pStyle w:val="FootnoteText"/>
      </w:pPr>
      <w:r w:rsidRPr="00CD6215">
        <w:rPr>
          <w:sz w:val="18"/>
          <w:szCs w:val="18"/>
          <w:vertAlign w:val="superscript"/>
        </w:rPr>
        <w:t>(</w:t>
      </w:r>
      <w:r w:rsidRPr="00CD6215">
        <w:rPr>
          <w:rStyle w:val="FootnoteReference"/>
          <w:sz w:val="18"/>
          <w:szCs w:val="18"/>
        </w:rPr>
        <w:footnoteRef/>
      </w:r>
      <w:r w:rsidRPr="00CD6215">
        <w:rPr>
          <w:sz w:val="18"/>
          <w:szCs w:val="18"/>
          <w:vertAlign w:val="superscript"/>
        </w:rPr>
        <w:t>)</w:t>
      </w:r>
      <w:r w:rsidRPr="00CD6215">
        <w:rPr>
          <w:sz w:val="18"/>
          <w:szCs w:val="18"/>
        </w:rPr>
        <w:t xml:space="preserve"> Giao chi tiết kế hoạch  đầu tư công nguồn ngân sách địa phương năm 2024 tỉnh Kon Tum</w:t>
      </w:r>
    </w:p>
  </w:footnote>
  <w:footnote w:id="3">
    <w:p w:rsidR="008C5205" w:rsidRPr="00AC7B45" w:rsidRDefault="008C5205" w:rsidP="008C5205">
      <w:pPr>
        <w:pStyle w:val="FootnoteText"/>
        <w:jc w:val="both"/>
        <w:rPr>
          <w:sz w:val="18"/>
          <w:szCs w:val="18"/>
        </w:rPr>
      </w:pPr>
      <w:r w:rsidRPr="00AC7B45">
        <w:rPr>
          <w:rStyle w:val="FootnoteReference"/>
          <w:sz w:val="18"/>
          <w:szCs w:val="18"/>
        </w:rPr>
        <w:footnoteRef/>
      </w:r>
      <w:r w:rsidRPr="00AC7B45">
        <w:rPr>
          <w:sz w:val="18"/>
          <w:szCs w:val="18"/>
        </w:rPr>
        <w:t xml:space="preserve"> Thông qua Danh mục các dự án cần thu hồi đất năm 2022 và dự án có nhu cầu chuyển mục đích sử dụng đất trồng lúa, đất rừng phòng hộ vào mục đích khác trên địa bàn tỉnh Kon Tum</w:t>
      </w:r>
    </w:p>
  </w:footnote>
  <w:footnote w:id="4">
    <w:p w:rsidR="008C5205" w:rsidRDefault="008C5205">
      <w:pPr>
        <w:pStyle w:val="FootnoteText"/>
      </w:pPr>
      <w:r>
        <w:rPr>
          <w:vertAlign w:val="superscript"/>
        </w:rPr>
        <w:t>(</w:t>
      </w:r>
      <w:r>
        <w:rPr>
          <w:rStyle w:val="FootnoteReference"/>
        </w:rPr>
        <w:footnoteRef/>
      </w:r>
      <w:r>
        <w:rPr>
          <w:vertAlign w:val="superscript"/>
        </w:rPr>
        <w:t>)</w:t>
      </w:r>
      <w:r>
        <w:t xml:space="preserve"> Dự án sắp xếp, ổn định dân cư Làng KĐin, xã Mô Rai, huyện Sa Thầy; Trường mầm non xã Măng Ri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CF" w:rsidRDefault="009E4322">
    <w:pPr>
      <w:pStyle w:val="Header"/>
      <w:tabs>
        <w:tab w:val="clear" w:pos="4680"/>
        <w:tab w:val="clear" w:pos="9360"/>
      </w:tabs>
      <w:jc w:val="center"/>
      <w:rPr>
        <w:sz w:val="24"/>
      </w:rPr>
    </w:pPr>
    <w:r>
      <w:rPr>
        <w:sz w:val="24"/>
      </w:rPr>
      <w:fldChar w:fldCharType="begin"/>
    </w:r>
    <w:r>
      <w:rPr>
        <w:sz w:val="24"/>
      </w:rPr>
      <w:instrText xml:space="preserve"> PAGE   \* MERGEFORMAT </w:instrText>
    </w:r>
    <w:r>
      <w:rPr>
        <w:sz w:val="24"/>
      </w:rPr>
      <w:fldChar w:fldCharType="separate"/>
    </w:r>
    <w:r w:rsidR="00AB7241">
      <w:rPr>
        <w:noProof/>
        <w:sz w:val="24"/>
      </w:rPr>
      <w:t>5</w:t>
    </w:r>
    <w:r>
      <w:rPr>
        <w:sz w:val="24"/>
      </w:rPr>
      <w:fldChar w:fldCharType="end"/>
    </w:r>
    <w:r>
      <w:rPr>
        <w:sz w:val="24"/>
      </w:rPr>
      <w:t xml:space="preserve"> </w:t>
    </w:r>
  </w:p>
  <w:p w:rsidR="002E71CF" w:rsidRDefault="002E71CF">
    <w:pPr>
      <w:pStyle w:val="Header"/>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E9"/>
    <w:rsid w:val="00000317"/>
    <w:rsid w:val="00001402"/>
    <w:rsid w:val="00003652"/>
    <w:rsid w:val="00004557"/>
    <w:rsid w:val="000150D3"/>
    <w:rsid w:val="00017AA7"/>
    <w:rsid w:val="0002313C"/>
    <w:rsid w:val="00027A54"/>
    <w:rsid w:val="00043B15"/>
    <w:rsid w:val="000445A5"/>
    <w:rsid w:val="000445B2"/>
    <w:rsid w:val="00046DFE"/>
    <w:rsid w:val="00047D93"/>
    <w:rsid w:val="00051F28"/>
    <w:rsid w:val="00052029"/>
    <w:rsid w:val="00054F64"/>
    <w:rsid w:val="000565EF"/>
    <w:rsid w:val="00057A9F"/>
    <w:rsid w:val="00061387"/>
    <w:rsid w:val="000618E4"/>
    <w:rsid w:val="00061DEA"/>
    <w:rsid w:val="000671C5"/>
    <w:rsid w:val="00071B4A"/>
    <w:rsid w:val="0007525C"/>
    <w:rsid w:val="0007553F"/>
    <w:rsid w:val="000819E6"/>
    <w:rsid w:val="0009098D"/>
    <w:rsid w:val="000911E9"/>
    <w:rsid w:val="00095478"/>
    <w:rsid w:val="000970CA"/>
    <w:rsid w:val="000A70D9"/>
    <w:rsid w:val="000B17E6"/>
    <w:rsid w:val="000C1E1A"/>
    <w:rsid w:val="000C76AA"/>
    <w:rsid w:val="000D7F63"/>
    <w:rsid w:val="000E04DA"/>
    <w:rsid w:val="000E0C44"/>
    <w:rsid w:val="000E2746"/>
    <w:rsid w:val="000F0807"/>
    <w:rsid w:val="000F0F0C"/>
    <w:rsid w:val="000F642B"/>
    <w:rsid w:val="000F6F8C"/>
    <w:rsid w:val="00104B43"/>
    <w:rsid w:val="00105F1B"/>
    <w:rsid w:val="00106DF7"/>
    <w:rsid w:val="0011007E"/>
    <w:rsid w:val="00122013"/>
    <w:rsid w:val="0012447E"/>
    <w:rsid w:val="00141B20"/>
    <w:rsid w:val="00141BFA"/>
    <w:rsid w:val="00142801"/>
    <w:rsid w:val="00143000"/>
    <w:rsid w:val="00144B28"/>
    <w:rsid w:val="001568EA"/>
    <w:rsid w:val="00156A41"/>
    <w:rsid w:val="00156CAB"/>
    <w:rsid w:val="00157E96"/>
    <w:rsid w:val="00164F15"/>
    <w:rsid w:val="001719F5"/>
    <w:rsid w:val="00173E97"/>
    <w:rsid w:val="00177A82"/>
    <w:rsid w:val="001849EF"/>
    <w:rsid w:val="001A15AA"/>
    <w:rsid w:val="001A4FB3"/>
    <w:rsid w:val="001A71DB"/>
    <w:rsid w:val="001B60E1"/>
    <w:rsid w:val="001C0778"/>
    <w:rsid w:val="001C2EA3"/>
    <w:rsid w:val="001C4B27"/>
    <w:rsid w:val="001C6030"/>
    <w:rsid w:val="001C6DB4"/>
    <w:rsid w:val="001D0D86"/>
    <w:rsid w:val="001D1068"/>
    <w:rsid w:val="001D29E9"/>
    <w:rsid w:val="001E3C08"/>
    <w:rsid w:val="001E4B6F"/>
    <w:rsid w:val="001E57DA"/>
    <w:rsid w:val="00206717"/>
    <w:rsid w:val="00210113"/>
    <w:rsid w:val="0021147A"/>
    <w:rsid w:val="00212182"/>
    <w:rsid w:val="002160CD"/>
    <w:rsid w:val="00221BD4"/>
    <w:rsid w:val="00225C9F"/>
    <w:rsid w:val="00227E9A"/>
    <w:rsid w:val="00251354"/>
    <w:rsid w:val="00252C29"/>
    <w:rsid w:val="00254806"/>
    <w:rsid w:val="0025696C"/>
    <w:rsid w:val="00264092"/>
    <w:rsid w:val="00277A34"/>
    <w:rsid w:val="00280970"/>
    <w:rsid w:val="0028483B"/>
    <w:rsid w:val="00291F16"/>
    <w:rsid w:val="00292162"/>
    <w:rsid w:val="0029641C"/>
    <w:rsid w:val="002B5EB9"/>
    <w:rsid w:val="002C2071"/>
    <w:rsid w:val="002D23C5"/>
    <w:rsid w:val="002E44D9"/>
    <w:rsid w:val="002E71CF"/>
    <w:rsid w:val="002F0730"/>
    <w:rsid w:val="002F41D5"/>
    <w:rsid w:val="002F676C"/>
    <w:rsid w:val="0030415C"/>
    <w:rsid w:val="00312620"/>
    <w:rsid w:val="00324E75"/>
    <w:rsid w:val="003301B3"/>
    <w:rsid w:val="0033062E"/>
    <w:rsid w:val="00333B76"/>
    <w:rsid w:val="00337164"/>
    <w:rsid w:val="0034023B"/>
    <w:rsid w:val="00341385"/>
    <w:rsid w:val="00341E6C"/>
    <w:rsid w:val="0034203C"/>
    <w:rsid w:val="00342093"/>
    <w:rsid w:val="0034408A"/>
    <w:rsid w:val="00356484"/>
    <w:rsid w:val="00361F7F"/>
    <w:rsid w:val="00365BE4"/>
    <w:rsid w:val="00367D86"/>
    <w:rsid w:val="00371971"/>
    <w:rsid w:val="00372703"/>
    <w:rsid w:val="00372A6A"/>
    <w:rsid w:val="003775D3"/>
    <w:rsid w:val="003817E3"/>
    <w:rsid w:val="0038195E"/>
    <w:rsid w:val="003828EE"/>
    <w:rsid w:val="00384013"/>
    <w:rsid w:val="00385FBA"/>
    <w:rsid w:val="00390A45"/>
    <w:rsid w:val="003915BF"/>
    <w:rsid w:val="003952E4"/>
    <w:rsid w:val="003A4337"/>
    <w:rsid w:val="003B2052"/>
    <w:rsid w:val="003B4D44"/>
    <w:rsid w:val="003C016B"/>
    <w:rsid w:val="003C2A31"/>
    <w:rsid w:val="003C406C"/>
    <w:rsid w:val="003D035D"/>
    <w:rsid w:val="003D35BB"/>
    <w:rsid w:val="003E1644"/>
    <w:rsid w:val="003E274A"/>
    <w:rsid w:val="003E7614"/>
    <w:rsid w:val="003F5DFE"/>
    <w:rsid w:val="003F77E3"/>
    <w:rsid w:val="004052D5"/>
    <w:rsid w:val="00405A9B"/>
    <w:rsid w:val="004168C9"/>
    <w:rsid w:val="00425701"/>
    <w:rsid w:val="00426B97"/>
    <w:rsid w:val="00435C27"/>
    <w:rsid w:val="00435F33"/>
    <w:rsid w:val="004417AF"/>
    <w:rsid w:val="004463F3"/>
    <w:rsid w:val="004477DD"/>
    <w:rsid w:val="004506B1"/>
    <w:rsid w:val="00453250"/>
    <w:rsid w:val="00453A3A"/>
    <w:rsid w:val="0045472B"/>
    <w:rsid w:val="00465685"/>
    <w:rsid w:val="00466C24"/>
    <w:rsid w:val="004678F3"/>
    <w:rsid w:val="00470F87"/>
    <w:rsid w:val="00470FE7"/>
    <w:rsid w:val="00471E42"/>
    <w:rsid w:val="0047211D"/>
    <w:rsid w:val="00491A41"/>
    <w:rsid w:val="00492E05"/>
    <w:rsid w:val="004B3ED0"/>
    <w:rsid w:val="004C03F4"/>
    <w:rsid w:val="004C32C3"/>
    <w:rsid w:val="004C3B3F"/>
    <w:rsid w:val="004D2381"/>
    <w:rsid w:val="004E2DEA"/>
    <w:rsid w:val="004E2E2A"/>
    <w:rsid w:val="004E5058"/>
    <w:rsid w:val="004E6FA0"/>
    <w:rsid w:val="004F57BF"/>
    <w:rsid w:val="00512486"/>
    <w:rsid w:val="0051300A"/>
    <w:rsid w:val="00516FF5"/>
    <w:rsid w:val="005412E1"/>
    <w:rsid w:val="00545220"/>
    <w:rsid w:val="00545954"/>
    <w:rsid w:val="00552312"/>
    <w:rsid w:val="005529D0"/>
    <w:rsid w:val="00552B99"/>
    <w:rsid w:val="005649B9"/>
    <w:rsid w:val="00572CB1"/>
    <w:rsid w:val="00574BBE"/>
    <w:rsid w:val="00574FD5"/>
    <w:rsid w:val="00575725"/>
    <w:rsid w:val="00581331"/>
    <w:rsid w:val="00581FC8"/>
    <w:rsid w:val="00583D75"/>
    <w:rsid w:val="00591837"/>
    <w:rsid w:val="00592E02"/>
    <w:rsid w:val="0059425C"/>
    <w:rsid w:val="00594912"/>
    <w:rsid w:val="005A72CB"/>
    <w:rsid w:val="005B028B"/>
    <w:rsid w:val="005B152A"/>
    <w:rsid w:val="005C1388"/>
    <w:rsid w:val="005C491C"/>
    <w:rsid w:val="005D16F0"/>
    <w:rsid w:val="005F6BB3"/>
    <w:rsid w:val="005F6CDB"/>
    <w:rsid w:val="00602F33"/>
    <w:rsid w:val="00605F79"/>
    <w:rsid w:val="00615DCA"/>
    <w:rsid w:val="00621A38"/>
    <w:rsid w:val="00621D85"/>
    <w:rsid w:val="00624955"/>
    <w:rsid w:val="00627BEA"/>
    <w:rsid w:val="00632EF3"/>
    <w:rsid w:val="006348BC"/>
    <w:rsid w:val="006352B4"/>
    <w:rsid w:val="00651B71"/>
    <w:rsid w:val="006528CF"/>
    <w:rsid w:val="0066035F"/>
    <w:rsid w:val="0066086C"/>
    <w:rsid w:val="00676756"/>
    <w:rsid w:val="00677B63"/>
    <w:rsid w:val="00685C36"/>
    <w:rsid w:val="00695D81"/>
    <w:rsid w:val="006975A4"/>
    <w:rsid w:val="006A3F89"/>
    <w:rsid w:val="006A6ECA"/>
    <w:rsid w:val="006B100E"/>
    <w:rsid w:val="006B1918"/>
    <w:rsid w:val="006B2213"/>
    <w:rsid w:val="006B5AC0"/>
    <w:rsid w:val="006B61A0"/>
    <w:rsid w:val="006C151A"/>
    <w:rsid w:val="006C424C"/>
    <w:rsid w:val="006D43AA"/>
    <w:rsid w:val="006E1DDB"/>
    <w:rsid w:val="006E353B"/>
    <w:rsid w:val="006E4AF3"/>
    <w:rsid w:val="006F1DE4"/>
    <w:rsid w:val="00703749"/>
    <w:rsid w:val="00706C9A"/>
    <w:rsid w:val="00707328"/>
    <w:rsid w:val="007159D6"/>
    <w:rsid w:val="007165DB"/>
    <w:rsid w:val="00723C64"/>
    <w:rsid w:val="00725614"/>
    <w:rsid w:val="0073028C"/>
    <w:rsid w:val="00736D3D"/>
    <w:rsid w:val="00743D9E"/>
    <w:rsid w:val="0074778C"/>
    <w:rsid w:val="00754762"/>
    <w:rsid w:val="007603EF"/>
    <w:rsid w:val="007702C5"/>
    <w:rsid w:val="00783EFA"/>
    <w:rsid w:val="0078473E"/>
    <w:rsid w:val="007875A7"/>
    <w:rsid w:val="007921AA"/>
    <w:rsid w:val="00792835"/>
    <w:rsid w:val="00792B43"/>
    <w:rsid w:val="00792D53"/>
    <w:rsid w:val="00793B3C"/>
    <w:rsid w:val="0079495C"/>
    <w:rsid w:val="007A7F72"/>
    <w:rsid w:val="007B1893"/>
    <w:rsid w:val="007B45FF"/>
    <w:rsid w:val="007C12B0"/>
    <w:rsid w:val="007C12CC"/>
    <w:rsid w:val="007C1587"/>
    <w:rsid w:val="007C1730"/>
    <w:rsid w:val="007C3170"/>
    <w:rsid w:val="007C3217"/>
    <w:rsid w:val="007C3D22"/>
    <w:rsid w:val="007D01B4"/>
    <w:rsid w:val="007D1A03"/>
    <w:rsid w:val="007D3BF1"/>
    <w:rsid w:val="007D44EF"/>
    <w:rsid w:val="007E3CEB"/>
    <w:rsid w:val="007F7A4E"/>
    <w:rsid w:val="00805BB9"/>
    <w:rsid w:val="00806C98"/>
    <w:rsid w:val="00812CA7"/>
    <w:rsid w:val="00816448"/>
    <w:rsid w:val="00817F5B"/>
    <w:rsid w:val="00821993"/>
    <w:rsid w:val="008245D9"/>
    <w:rsid w:val="00825458"/>
    <w:rsid w:val="00835BDA"/>
    <w:rsid w:val="00841F7B"/>
    <w:rsid w:val="00844EA1"/>
    <w:rsid w:val="00845309"/>
    <w:rsid w:val="00851313"/>
    <w:rsid w:val="00862788"/>
    <w:rsid w:val="00862E55"/>
    <w:rsid w:val="00866094"/>
    <w:rsid w:val="0087158C"/>
    <w:rsid w:val="0087197C"/>
    <w:rsid w:val="00874300"/>
    <w:rsid w:val="00874D8C"/>
    <w:rsid w:val="00897193"/>
    <w:rsid w:val="008B0801"/>
    <w:rsid w:val="008B26E5"/>
    <w:rsid w:val="008B50A4"/>
    <w:rsid w:val="008B716D"/>
    <w:rsid w:val="008C27A8"/>
    <w:rsid w:val="008C4B41"/>
    <w:rsid w:val="008C5205"/>
    <w:rsid w:val="008D33A4"/>
    <w:rsid w:val="008E0B9A"/>
    <w:rsid w:val="008F23FA"/>
    <w:rsid w:val="008F643E"/>
    <w:rsid w:val="00906307"/>
    <w:rsid w:val="00910AC6"/>
    <w:rsid w:val="009154EA"/>
    <w:rsid w:val="00917E97"/>
    <w:rsid w:val="0092105B"/>
    <w:rsid w:val="00922529"/>
    <w:rsid w:val="009250B5"/>
    <w:rsid w:val="0092561D"/>
    <w:rsid w:val="009258FB"/>
    <w:rsid w:val="00937AC3"/>
    <w:rsid w:val="00941986"/>
    <w:rsid w:val="0094247E"/>
    <w:rsid w:val="00956685"/>
    <w:rsid w:val="00961071"/>
    <w:rsid w:val="00962C05"/>
    <w:rsid w:val="00965922"/>
    <w:rsid w:val="009722B2"/>
    <w:rsid w:val="00972686"/>
    <w:rsid w:val="00974936"/>
    <w:rsid w:val="009833CE"/>
    <w:rsid w:val="009909CA"/>
    <w:rsid w:val="00996FB3"/>
    <w:rsid w:val="009A17A3"/>
    <w:rsid w:val="009A31E8"/>
    <w:rsid w:val="009A543D"/>
    <w:rsid w:val="009A6F12"/>
    <w:rsid w:val="009A7C44"/>
    <w:rsid w:val="009B23A3"/>
    <w:rsid w:val="009B4EFC"/>
    <w:rsid w:val="009B67BB"/>
    <w:rsid w:val="009D0773"/>
    <w:rsid w:val="009E02E5"/>
    <w:rsid w:val="009E2A77"/>
    <w:rsid w:val="009E3DE1"/>
    <w:rsid w:val="009E4322"/>
    <w:rsid w:val="009F010A"/>
    <w:rsid w:val="009F7087"/>
    <w:rsid w:val="00A04D14"/>
    <w:rsid w:val="00A0648F"/>
    <w:rsid w:val="00A078E4"/>
    <w:rsid w:val="00A144B1"/>
    <w:rsid w:val="00A162C3"/>
    <w:rsid w:val="00A3252F"/>
    <w:rsid w:val="00A41FC3"/>
    <w:rsid w:val="00A43A2A"/>
    <w:rsid w:val="00A55E73"/>
    <w:rsid w:val="00A72847"/>
    <w:rsid w:val="00A92518"/>
    <w:rsid w:val="00A9251E"/>
    <w:rsid w:val="00A93E79"/>
    <w:rsid w:val="00A96C7B"/>
    <w:rsid w:val="00AA7245"/>
    <w:rsid w:val="00AB468D"/>
    <w:rsid w:val="00AB7241"/>
    <w:rsid w:val="00AB78F1"/>
    <w:rsid w:val="00AC0A54"/>
    <w:rsid w:val="00AC1203"/>
    <w:rsid w:val="00AC56BD"/>
    <w:rsid w:val="00AC66A5"/>
    <w:rsid w:val="00AD11E6"/>
    <w:rsid w:val="00AD183C"/>
    <w:rsid w:val="00AD6254"/>
    <w:rsid w:val="00AE4D6C"/>
    <w:rsid w:val="00AE6001"/>
    <w:rsid w:val="00AF2315"/>
    <w:rsid w:val="00AF2715"/>
    <w:rsid w:val="00AF643F"/>
    <w:rsid w:val="00B01A53"/>
    <w:rsid w:val="00B04847"/>
    <w:rsid w:val="00B12EC3"/>
    <w:rsid w:val="00B17052"/>
    <w:rsid w:val="00B2108B"/>
    <w:rsid w:val="00B21DB8"/>
    <w:rsid w:val="00B21F4F"/>
    <w:rsid w:val="00B30C23"/>
    <w:rsid w:val="00B41739"/>
    <w:rsid w:val="00B44A5A"/>
    <w:rsid w:val="00B50118"/>
    <w:rsid w:val="00B62616"/>
    <w:rsid w:val="00B626D1"/>
    <w:rsid w:val="00B639FA"/>
    <w:rsid w:val="00B63FCF"/>
    <w:rsid w:val="00B7225D"/>
    <w:rsid w:val="00B825A7"/>
    <w:rsid w:val="00B84662"/>
    <w:rsid w:val="00B8602E"/>
    <w:rsid w:val="00B86681"/>
    <w:rsid w:val="00B91BAB"/>
    <w:rsid w:val="00BB3A09"/>
    <w:rsid w:val="00BC7D22"/>
    <w:rsid w:val="00BD3EA8"/>
    <w:rsid w:val="00BD5D3D"/>
    <w:rsid w:val="00BE1F13"/>
    <w:rsid w:val="00BE37D7"/>
    <w:rsid w:val="00BE6CB4"/>
    <w:rsid w:val="00BF3915"/>
    <w:rsid w:val="00BF6EB0"/>
    <w:rsid w:val="00C16A0F"/>
    <w:rsid w:val="00C21FC2"/>
    <w:rsid w:val="00C36819"/>
    <w:rsid w:val="00C422F2"/>
    <w:rsid w:val="00C429D3"/>
    <w:rsid w:val="00C634BC"/>
    <w:rsid w:val="00C63DDD"/>
    <w:rsid w:val="00C72029"/>
    <w:rsid w:val="00C74B8B"/>
    <w:rsid w:val="00C826E5"/>
    <w:rsid w:val="00C849BE"/>
    <w:rsid w:val="00C85013"/>
    <w:rsid w:val="00C90B7F"/>
    <w:rsid w:val="00CA07C1"/>
    <w:rsid w:val="00CB25AE"/>
    <w:rsid w:val="00CB67E3"/>
    <w:rsid w:val="00CC04B5"/>
    <w:rsid w:val="00CC2296"/>
    <w:rsid w:val="00CC4900"/>
    <w:rsid w:val="00CE2EF0"/>
    <w:rsid w:val="00CE3096"/>
    <w:rsid w:val="00D1014A"/>
    <w:rsid w:val="00D11420"/>
    <w:rsid w:val="00D13934"/>
    <w:rsid w:val="00D15494"/>
    <w:rsid w:val="00D27CE0"/>
    <w:rsid w:val="00D342F2"/>
    <w:rsid w:val="00D36338"/>
    <w:rsid w:val="00D3785D"/>
    <w:rsid w:val="00D6387E"/>
    <w:rsid w:val="00D643F8"/>
    <w:rsid w:val="00D701D2"/>
    <w:rsid w:val="00D82752"/>
    <w:rsid w:val="00D936B4"/>
    <w:rsid w:val="00D950FC"/>
    <w:rsid w:val="00D951EF"/>
    <w:rsid w:val="00DA1AD3"/>
    <w:rsid w:val="00DA2094"/>
    <w:rsid w:val="00DA396A"/>
    <w:rsid w:val="00DB7EE4"/>
    <w:rsid w:val="00DC42BB"/>
    <w:rsid w:val="00DC5E75"/>
    <w:rsid w:val="00DD4C46"/>
    <w:rsid w:val="00DD5DCC"/>
    <w:rsid w:val="00DE2A9B"/>
    <w:rsid w:val="00DE466E"/>
    <w:rsid w:val="00DF3E23"/>
    <w:rsid w:val="00DF539A"/>
    <w:rsid w:val="00E05BAF"/>
    <w:rsid w:val="00E06AD9"/>
    <w:rsid w:val="00E1075D"/>
    <w:rsid w:val="00E11415"/>
    <w:rsid w:val="00E21481"/>
    <w:rsid w:val="00E27FA1"/>
    <w:rsid w:val="00E30343"/>
    <w:rsid w:val="00E3105F"/>
    <w:rsid w:val="00E32324"/>
    <w:rsid w:val="00E35F0F"/>
    <w:rsid w:val="00E41A4F"/>
    <w:rsid w:val="00E41B08"/>
    <w:rsid w:val="00E51F78"/>
    <w:rsid w:val="00E55DF8"/>
    <w:rsid w:val="00E61889"/>
    <w:rsid w:val="00E64ED4"/>
    <w:rsid w:val="00E81670"/>
    <w:rsid w:val="00E81A01"/>
    <w:rsid w:val="00E90C41"/>
    <w:rsid w:val="00E91249"/>
    <w:rsid w:val="00E9623E"/>
    <w:rsid w:val="00EA012F"/>
    <w:rsid w:val="00EA23F1"/>
    <w:rsid w:val="00EA30DD"/>
    <w:rsid w:val="00EB1BBF"/>
    <w:rsid w:val="00EC7E1E"/>
    <w:rsid w:val="00EE4F57"/>
    <w:rsid w:val="00EE5B40"/>
    <w:rsid w:val="00EF1EBE"/>
    <w:rsid w:val="00EF32F0"/>
    <w:rsid w:val="00F02A86"/>
    <w:rsid w:val="00F06EEB"/>
    <w:rsid w:val="00F074A6"/>
    <w:rsid w:val="00F16B31"/>
    <w:rsid w:val="00F16F0C"/>
    <w:rsid w:val="00F23756"/>
    <w:rsid w:val="00F23C9A"/>
    <w:rsid w:val="00F24E4E"/>
    <w:rsid w:val="00F326D5"/>
    <w:rsid w:val="00F42764"/>
    <w:rsid w:val="00F45519"/>
    <w:rsid w:val="00F50507"/>
    <w:rsid w:val="00F61DCA"/>
    <w:rsid w:val="00F67824"/>
    <w:rsid w:val="00F74E3C"/>
    <w:rsid w:val="00F82ECD"/>
    <w:rsid w:val="00F84869"/>
    <w:rsid w:val="00F95CC7"/>
    <w:rsid w:val="00F95E07"/>
    <w:rsid w:val="00FA4906"/>
    <w:rsid w:val="00FA64CD"/>
    <w:rsid w:val="00FB4248"/>
    <w:rsid w:val="00FB4C6D"/>
    <w:rsid w:val="00FB520A"/>
    <w:rsid w:val="00FC3CD3"/>
    <w:rsid w:val="00FD4C53"/>
    <w:rsid w:val="00FD5001"/>
    <w:rsid w:val="00FD7B17"/>
    <w:rsid w:val="00FE3302"/>
    <w:rsid w:val="00FE41E6"/>
    <w:rsid w:val="00FE6B1F"/>
    <w:rsid w:val="00FE725F"/>
    <w:rsid w:val="00FF05EB"/>
    <w:rsid w:val="00FF2BC4"/>
    <w:rsid w:val="6D707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2590BC8"/>
  <w15:docId w15:val="{FD77F31F-0EDD-4FAA-8E66-51BF9B2D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8"/>
      <w:szCs w:val="22"/>
    </w:rPr>
  </w:style>
  <w:style w:type="paragraph" w:styleId="Heading3">
    <w:name w:val="heading 3"/>
    <w:basedOn w:val="Normal"/>
    <w:next w:val="Normal"/>
    <w:link w:val="Heading3Char"/>
    <w:semiHidden/>
    <w:unhideWhenUsed/>
    <w:qFormat/>
    <w:pPr>
      <w:keepNext/>
      <w:spacing w:before="60" w:after="0"/>
      <w:jc w:val="center"/>
      <w:outlineLvl w:val="2"/>
    </w:pPr>
    <w:rPr>
      <w:rFonts w:eastAsia="Times New Roman"/>
      <w:b/>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pPr>
    <w:rPr>
      <w:rFonts w:ascii="Tahoma" w:hAnsi="Tahoma" w:cs="Tahoma"/>
      <w:sz w:val="16"/>
      <w:szCs w:val="16"/>
    </w:rPr>
  </w:style>
  <w:style w:type="paragraph" w:styleId="BodyText">
    <w:name w:val="Body Text"/>
    <w:basedOn w:val="Normal"/>
    <w:link w:val="BodyTextChar"/>
    <w:uiPriority w:val="99"/>
    <w:unhideWhenUsed/>
    <w:qFormat/>
    <w:pPr>
      <w:spacing w:before="60" w:line="312" w:lineRule="auto"/>
    </w:pPr>
    <w:rPr>
      <w:sz w:val="26"/>
    </w:rPr>
  </w:style>
  <w:style w:type="paragraph" w:styleId="BodyText2">
    <w:name w:val="Body Text 2"/>
    <w:basedOn w:val="Normal"/>
    <w:link w:val="BodyText2Char"/>
    <w:unhideWhenUsed/>
    <w:pPr>
      <w:spacing w:line="480" w:lineRule="auto"/>
    </w:pPr>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before="0" w:after="0"/>
    </w:p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4_"/>
    <w:link w:val="ftrefCharCharChar1Char"/>
    <w:uiPriority w:val="99"/>
    <w:qFormat/>
    <w:rPr>
      <w:vertAlign w:val="superscript"/>
    </w:rPr>
  </w:style>
  <w:style w:type="paragraph" w:customStyle="1" w:styleId="ftrefCharCharChar1Char">
    <w:name w:val="ftref Char Char Char1 Char"/>
    <w:basedOn w:val="Normal"/>
    <w:link w:val="FootnoteReference"/>
    <w:qFormat/>
    <w:pPr>
      <w:spacing w:before="0" w:after="160" w:line="240" w:lineRule="exact"/>
    </w:pPr>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qFormat/>
    <w:pPr>
      <w:spacing w:before="0" w:after="0"/>
    </w:pPr>
    <w:rPr>
      <w:rFonts w:eastAsia="Times New Roman"/>
      <w:sz w:val="20"/>
      <w:szCs w:val="20"/>
      <w:lang w:val="vi-VN" w:eastAsia="vi-VN"/>
    </w:rPr>
  </w:style>
  <w:style w:type="paragraph" w:styleId="Header">
    <w:name w:val="header"/>
    <w:basedOn w:val="Normal"/>
    <w:link w:val="HeaderChar"/>
    <w:uiPriority w:val="99"/>
    <w:unhideWhenUsed/>
    <w:qFormat/>
    <w:pPr>
      <w:tabs>
        <w:tab w:val="center" w:pos="4680"/>
        <w:tab w:val="right" w:pos="9360"/>
      </w:tabs>
      <w:spacing w:before="0" w:after="0"/>
    </w:pPr>
  </w:style>
  <w:style w:type="character" w:styleId="Hyperlink">
    <w:name w:val="Hyperlink"/>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pPr>
    <w:rPr>
      <w:rFonts w:eastAsia="Times New Roman"/>
      <w:sz w:val="24"/>
      <w:szCs w:val="24"/>
    </w:rPr>
  </w:style>
  <w:style w:type="character" w:styleId="Strong">
    <w:name w:val="Strong"/>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link w:val="FootnoteText"/>
    <w:uiPriority w:val="99"/>
    <w:qFormat/>
    <w:rPr>
      <w:rFonts w:eastAsia="Times New Roman" w:cs="Times New Roman"/>
      <w:sz w:val="20"/>
      <w:szCs w:val="20"/>
      <w:lang w:val="vi-VN" w:eastAsia="vi-VN"/>
    </w:rPr>
  </w:style>
  <w:style w:type="paragraph" w:customStyle="1" w:styleId="Befor-After">
    <w:name w:val="Befor-After"/>
    <w:basedOn w:val="Normal"/>
    <w:qFormat/>
    <w:pPr>
      <w:jc w:val="both"/>
    </w:pPr>
    <w:rPr>
      <w:rFonts w:eastAsia="Times New Roman"/>
      <w:color w:val="002060"/>
      <w:szCs w:val="28"/>
      <w:lang w:val="vi-VN"/>
    </w:rPr>
  </w:style>
  <w:style w:type="character" w:customStyle="1" w:styleId="BodyTextChar">
    <w:name w:val="Body Text Char"/>
    <w:link w:val="BodyText"/>
    <w:uiPriority w:val="99"/>
    <w:qFormat/>
    <w:rPr>
      <w:rFonts w:eastAsia="Calibri" w:cs="Times New Roman"/>
      <w:sz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spacing w:before="0" w:after="0"/>
      <w:ind w:left="720"/>
      <w:contextualSpacing/>
    </w:pPr>
    <w:rPr>
      <w:szCs w:val="20"/>
    </w:rPr>
  </w:style>
  <w:style w:type="character" w:customStyle="1" w:styleId="Heading3Char">
    <w:name w:val="Heading 3 Char"/>
    <w:link w:val="Heading3"/>
    <w:semiHidden/>
    <w:rPr>
      <w:rFonts w:eastAsia="Times New Roman" w:cs="Times New Roman"/>
      <w:b/>
      <w:color w:val="002060"/>
      <w:sz w:val="26"/>
      <w:szCs w:val="28"/>
      <w:lang w:val="vi-VN" w:eastAsia="vi-VN"/>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CommentTextChar">
    <w:name w:val="Comment Text Char"/>
    <w:link w:val="CommentText"/>
    <w:uiPriority w:val="99"/>
    <w:semiHidden/>
    <w:rPr>
      <w:sz w:val="20"/>
      <w:szCs w:val="20"/>
    </w:rPr>
  </w:style>
  <w:style w:type="character" w:customStyle="1" w:styleId="CommentSubjectChar">
    <w:name w:val="Comment Subject Char"/>
    <w:link w:val="CommentSubject"/>
    <w:uiPriority w:val="99"/>
    <w:semiHidden/>
    <w:rPr>
      <w:b/>
      <w:bCs/>
      <w:sz w:val="20"/>
      <w:szCs w:val="20"/>
    </w:rPr>
  </w:style>
  <w:style w:type="character" w:customStyle="1" w:styleId="BodyText2Char">
    <w:name w:val="Body Text 2 Char"/>
    <w:link w:val="BodyText2"/>
    <w:rPr>
      <w:sz w:val="28"/>
      <w:szCs w:val="22"/>
    </w:rPr>
  </w:style>
  <w:style w:type="character" w:customStyle="1" w:styleId="NormalWebChar">
    <w:name w:val="Normal (Web) Char"/>
    <w:link w:val="NormalWeb"/>
    <w:uiPriority w:val="99"/>
    <w:rPr>
      <w:rFonts w:eastAsia="Times New Roman"/>
      <w:sz w:val="24"/>
      <w:szCs w:val="24"/>
    </w:rPr>
  </w:style>
  <w:style w:type="character" w:customStyle="1" w:styleId="fontstyle21">
    <w:name w:val="fontstyle21"/>
    <w:rPr>
      <w:rFonts w:ascii="Times New Roman" w:hAnsi="Times New Roman" w:cs="Times New Roman" w:hint="default"/>
      <w:i/>
      <w:iCs/>
      <w:color w:val="000000"/>
      <w:sz w:val="28"/>
      <w:szCs w:val="28"/>
    </w:rPr>
  </w:style>
  <w:style w:type="paragraph" w:customStyle="1" w:styleId="Footnotedich">
    <w:name w:val="Footnote dich"/>
    <w:aliases w:val="SUPERS,R"/>
    <w:basedOn w:val="Normal"/>
    <w:uiPriority w:val="99"/>
    <w:rsid w:val="00D6387E"/>
    <w:pPr>
      <w:widowControl w:val="0"/>
      <w:spacing w:before="100" w:after="0" w:line="240" w:lineRule="exact"/>
    </w:pPr>
    <w:rPr>
      <w:rFonts w:ascii="Calibri" w:hAnsi="Calibri"/>
      <w:sz w:val="20"/>
      <w:szCs w:val="20"/>
      <w:vertAlign w:val="superscript"/>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B11A88-39A8-4F1A-B07E-9E4D13E7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1112</Words>
  <Characters>6342</Characters>
  <Application>Microsoft Office Word</Application>
  <DocSecurity>0</DocSecurity>
  <Lines>52</Lines>
  <Paragraphs>14</Paragraphs>
  <ScaleCrop>false</ScaleCrop>
  <Company>Microsoft</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Minh Khương</cp:lastModifiedBy>
  <cp:revision>8</cp:revision>
  <cp:lastPrinted>2021-10-13T09:24:00Z</cp:lastPrinted>
  <dcterms:created xsi:type="dcterms:W3CDTF">2024-04-25T08:36:00Z</dcterms:created>
  <dcterms:modified xsi:type="dcterms:W3CDTF">2024-06-27T10:08:00Z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9A1B390618324E06B11873CAAF52448C_13</vt:lpwstr>
  </property>
</Properties>
</file>