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57BB3" w14:textId="77777777" w:rsidR="00E53A81" w:rsidRPr="00937F97" w:rsidRDefault="00E53A81" w:rsidP="005F7A52">
      <w:pPr>
        <w:pStyle w:val="Heading1"/>
        <w:rPr>
          <w:rFonts w:ascii="Times New Roman" w:hAnsi="Times New Roman"/>
          <w:i w:val="0"/>
          <w:lang w:val="nl-NL"/>
        </w:rPr>
      </w:pPr>
      <w:r w:rsidRPr="00937F97">
        <w:rPr>
          <w:rFonts w:ascii="Times New Roman" w:hAnsi="Times New Roman"/>
          <w:i w:val="0"/>
          <w:lang w:val="nl-NL"/>
        </w:rPr>
        <w:t xml:space="preserve">BẢNG </w:t>
      </w:r>
      <w:r w:rsidR="00806EE3" w:rsidRPr="00937F97">
        <w:rPr>
          <w:rFonts w:ascii="Times New Roman" w:hAnsi="Times New Roman"/>
          <w:i w:val="0"/>
          <w:lang w:val="nl-NL"/>
        </w:rPr>
        <w:t xml:space="preserve">TỔNG HỢP CÁC Ý KIẾN GÓP Ý CỦA CÁC CƠ QUAN </w:t>
      </w:r>
      <w:r w:rsidRPr="00937F97">
        <w:rPr>
          <w:rFonts w:ascii="Times New Roman" w:hAnsi="Times New Roman"/>
          <w:i w:val="0"/>
          <w:lang w:val="nl-NL"/>
        </w:rPr>
        <w:t xml:space="preserve">VÀ NỘI DUNG TIẾP THU, </w:t>
      </w:r>
    </w:p>
    <w:p w14:paraId="747730A1" w14:textId="77777777" w:rsidR="00806EE3" w:rsidRPr="00937F97" w:rsidRDefault="00E53A81" w:rsidP="00293CBB">
      <w:pPr>
        <w:ind w:left="-720" w:firstLine="720"/>
        <w:jc w:val="center"/>
        <w:rPr>
          <w:b/>
          <w:sz w:val="28"/>
          <w:szCs w:val="28"/>
          <w:lang w:val="nl-NL"/>
        </w:rPr>
      </w:pPr>
      <w:r w:rsidRPr="00937F97">
        <w:rPr>
          <w:b/>
          <w:sz w:val="28"/>
          <w:szCs w:val="28"/>
          <w:lang w:val="nl-NL"/>
        </w:rPr>
        <w:t>GIẢI TRÌNH CỦA SỞ XÂY DỰNG</w:t>
      </w:r>
      <w:r w:rsidR="00806EE3" w:rsidRPr="00937F97">
        <w:rPr>
          <w:b/>
          <w:sz w:val="28"/>
          <w:szCs w:val="28"/>
          <w:lang w:val="nl-NL"/>
        </w:rPr>
        <w:t xml:space="preserve"> </w:t>
      </w:r>
    </w:p>
    <w:p w14:paraId="1B918FF2" w14:textId="44732EB0" w:rsidR="00806EE3" w:rsidRDefault="00E53A81" w:rsidP="001E3529">
      <w:pPr>
        <w:ind w:left="-720" w:firstLine="720"/>
        <w:jc w:val="center"/>
        <w:rPr>
          <w:i/>
          <w:sz w:val="26"/>
          <w:szCs w:val="26"/>
          <w:lang w:val="nl-NL"/>
        </w:rPr>
      </w:pPr>
      <w:r w:rsidRPr="001857C1">
        <w:rPr>
          <w:i/>
          <w:sz w:val="26"/>
          <w:szCs w:val="26"/>
          <w:lang w:val="nl-NL"/>
        </w:rPr>
        <w:t xml:space="preserve"> </w:t>
      </w:r>
      <w:r w:rsidR="00806EE3" w:rsidRPr="001857C1">
        <w:rPr>
          <w:i/>
          <w:sz w:val="26"/>
          <w:szCs w:val="26"/>
          <w:lang w:val="nl-NL"/>
        </w:rPr>
        <w:t xml:space="preserve">(Kèm theo </w:t>
      </w:r>
      <w:r w:rsidR="007C3EFF">
        <w:rPr>
          <w:i/>
          <w:sz w:val="26"/>
          <w:szCs w:val="26"/>
          <w:lang w:val="nl-NL"/>
        </w:rPr>
        <w:t xml:space="preserve">Tờ trình </w:t>
      </w:r>
      <w:r w:rsidR="0062674E" w:rsidRPr="001857C1">
        <w:rPr>
          <w:i/>
          <w:sz w:val="26"/>
          <w:szCs w:val="26"/>
          <w:lang w:val="nl-NL"/>
        </w:rPr>
        <w:t xml:space="preserve">số  </w:t>
      </w:r>
      <w:r w:rsidR="00551AF6">
        <w:rPr>
          <w:i/>
          <w:sz w:val="26"/>
          <w:szCs w:val="26"/>
          <w:lang w:val="nl-NL"/>
        </w:rPr>
        <w:t xml:space="preserve">   </w:t>
      </w:r>
      <w:r w:rsidR="00FF6D07">
        <w:rPr>
          <w:i/>
          <w:sz w:val="26"/>
          <w:szCs w:val="26"/>
          <w:lang w:val="nl-NL"/>
        </w:rPr>
        <w:t xml:space="preserve"> </w:t>
      </w:r>
      <w:r w:rsidR="0062674E" w:rsidRPr="001857C1">
        <w:rPr>
          <w:i/>
          <w:sz w:val="26"/>
          <w:szCs w:val="26"/>
          <w:lang w:val="nl-NL"/>
        </w:rPr>
        <w:t>/</w:t>
      </w:r>
      <w:r w:rsidR="00BF6120">
        <w:rPr>
          <w:i/>
          <w:sz w:val="26"/>
          <w:szCs w:val="26"/>
          <w:lang w:val="nl-NL"/>
        </w:rPr>
        <w:t xml:space="preserve">TTr- </w:t>
      </w:r>
      <w:r w:rsidR="0062674E" w:rsidRPr="001857C1">
        <w:rPr>
          <w:i/>
          <w:sz w:val="26"/>
          <w:szCs w:val="26"/>
          <w:lang w:val="nl-NL"/>
        </w:rPr>
        <w:t>SXD</w:t>
      </w:r>
      <w:r w:rsidR="00E777A1">
        <w:rPr>
          <w:i/>
          <w:sz w:val="26"/>
          <w:szCs w:val="26"/>
          <w:lang w:val="nl-NL"/>
        </w:rPr>
        <w:t xml:space="preserve"> ngày </w:t>
      </w:r>
      <w:r w:rsidR="00FF6D07">
        <w:rPr>
          <w:i/>
          <w:sz w:val="26"/>
          <w:szCs w:val="26"/>
          <w:lang w:val="nl-NL"/>
        </w:rPr>
        <w:t xml:space="preserve">    </w:t>
      </w:r>
      <w:r w:rsidR="00E777A1">
        <w:rPr>
          <w:i/>
          <w:sz w:val="26"/>
          <w:szCs w:val="26"/>
          <w:lang w:val="nl-NL"/>
        </w:rPr>
        <w:t>/</w:t>
      </w:r>
      <w:r w:rsidR="009B25D3">
        <w:rPr>
          <w:i/>
          <w:sz w:val="26"/>
          <w:szCs w:val="26"/>
          <w:lang w:val="nl-NL"/>
        </w:rPr>
        <w:t>4</w:t>
      </w:r>
      <w:r w:rsidR="00FF6D07">
        <w:rPr>
          <w:i/>
          <w:sz w:val="26"/>
          <w:szCs w:val="26"/>
          <w:lang w:val="nl-NL"/>
        </w:rPr>
        <w:t>/202</w:t>
      </w:r>
      <w:r w:rsidR="006E29ED" w:rsidRPr="00877185">
        <w:rPr>
          <w:i/>
          <w:sz w:val="26"/>
          <w:szCs w:val="26"/>
          <w:lang w:val="nl-NL"/>
        </w:rPr>
        <w:t>3</w:t>
      </w:r>
      <w:r w:rsidR="00806EE3" w:rsidRPr="001857C1">
        <w:rPr>
          <w:i/>
          <w:sz w:val="26"/>
          <w:szCs w:val="26"/>
          <w:lang w:val="nl-NL"/>
        </w:rPr>
        <w:t xml:space="preserve"> của Sở Xây dựng)</w:t>
      </w:r>
    </w:p>
    <w:p w14:paraId="3A4BE957" w14:textId="77777777" w:rsidR="00475981" w:rsidRDefault="00475981" w:rsidP="001E3529">
      <w:pPr>
        <w:ind w:left="-720" w:firstLine="720"/>
        <w:jc w:val="center"/>
        <w:rPr>
          <w:i/>
          <w:sz w:val="26"/>
          <w:szCs w:val="26"/>
          <w:lang w:val="nl-NL"/>
        </w:rPr>
      </w:pPr>
    </w:p>
    <w:p w14:paraId="0D4391D0" w14:textId="38FACF8E" w:rsidR="008561CC" w:rsidRPr="00290596" w:rsidRDefault="00080D1E" w:rsidP="00F60A97">
      <w:pPr>
        <w:pStyle w:val="ListParagraph"/>
        <w:numPr>
          <w:ilvl w:val="0"/>
          <w:numId w:val="16"/>
        </w:numPr>
        <w:spacing w:before="120"/>
        <w:jc w:val="both"/>
        <w:rPr>
          <w:shd w:val="clear" w:color="auto" w:fill="FFFFFF"/>
          <w:lang w:val="nl-NL"/>
        </w:rPr>
      </w:pPr>
      <w:r w:rsidRPr="00290596">
        <w:rPr>
          <w:shd w:val="clear" w:color="auto" w:fill="FFFFFF"/>
          <w:lang w:val="nl-NL"/>
        </w:rPr>
        <w:t>Tổng số cơ quan, đơn vị</w:t>
      </w:r>
      <w:r w:rsidR="008561CC" w:rsidRPr="00290596">
        <w:rPr>
          <w:shd w:val="clear" w:color="auto" w:fill="FFFFFF"/>
          <w:lang w:val="nl-NL"/>
        </w:rPr>
        <w:t xml:space="preserve"> </w:t>
      </w:r>
      <w:r w:rsidRPr="00290596">
        <w:rPr>
          <w:shd w:val="clear" w:color="auto" w:fill="FFFFFF"/>
          <w:lang w:val="nl-NL"/>
        </w:rPr>
        <w:t xml:space="preserve">lấy ý kiến: </w:t>
      </w:r>
      <w:r w:rsidR="00386E6A" w:rsidRPr="00290596">
        <w:rPr>
          <w:shd w:val="clear" w:color="auto" w:fill="FFFFFF"/>
          <w:lang w:val="nl-NL"/>
        </w:rPr>
        <w:t>2</w:t>
      </w:r>
      <w:r w:rsidR="00D3611B" w:rsidRPr="00290596">
        <w:rPr>
          <w:shd w:val="clear" w:color="auto" w:fill="FFFFFF"/>
          <w:lang w:val="nl-NL"/>
        </w:rPr>
        <w:t>0</w:t>
      </w:r>
      <w:r w:rsidR="008561CC" w:rsidRPr="00290596">
        <w:rPr>
          <w:shd w:val="clear" w:color="auto" w:fill="FFFFFF"/>
          <w:lang w:val="nl-NL"/>
        </w:rPr>
        <w:t xml:space="preserve"> </w:t>
      </w:r>
      <w:r w:rsidRPr="00290596">
        <w:rPr>
          <w:shd w:val="clear" w:color="auto" w:fill="FFFFFF"/>
          <w:lang w:val="nl-NL"/>
        </w:rPr>
        <w:t>cơ quan, đơn vị, trong đó:</w:t>
      </w:r>
    </w:p>
    <w:p w14:paraId="69303CCA" w14:textId="59F47F50" w:rsidR="007D4D3A" w:rsidRDefault="007D4D3A" w:rsidP="00F60A97">
      <w:pPr>
        <w:pStyle w:val="ListParagraph"/>
        <w:spacing w:before="120"/>
        <w:jc w:val="both"/>
        <w:rPr>
          <w:shd w:val="clear" w:color="auto" w:fill="FFFFFF"/>
          <w:lang w:val="nl-NL"/>
        </w:rPr>
      </w:pPr>
      <w:r>
        <w:rPr>
          <w:shd w:val="clear" w:color="auto" w:fill="FFFFFF"/>
          <w:lang w:val="nl-NL"/>
        </w:rPr>
        <w:t>*17 cơ quan, đơn vị thuộc tỉnh:</w:t>
      </w:r>
    </w:p>
    <w:p w14:paraId="46DFA4AD" w14:textId="13C513FB" w:rsidR="00386E6A" w:rsidRPr="00877185" w:rsidRDefault="0010117F" w:rsidP="00F60A97">
      <w:pPr>
        <w:pStyle w:val="ListParagraph"/>
        <w:spacing w:before="120"/>
        <w:jc w:val="both"/>
        <w:rPr>
          <w:color w:val="000000"/>
          <w:lang w:val="nl-NL"/>
        </w:rPr>
      </w:pPr>
      <w:r w:rsidRPr="00290596">
        <w:rPr>
          <w:shd w:val="clear" w:color="auto" w:fill="FFFFFF"/>
          <w:lang w:val="nl-NL"/>
        </w:rPr>
        <w:t xml:space="preserve">- </w:t>
      </w:r>
      <w:r w:rsidRPr="00290596">
        <w:rPr>
          <w:shd w:val="clear" w:color="auto" w:fill="FFFFFF"/>
          <w:lang w:val="vi-VN"/>
        </w:rPr>
        <w:t>0</w:t>
      </w:r>
      <w:r w:rsidR="002076B9">
        <w:rPr>
          <w:shd w:val="clear" w:color="auto" w:fill="FFFFFF"/>
          <w:lang w:val="nl-NL"/>
        </w:rPr>
        <w:t>9</w:t>
      </w:r>
      <w:r w:rsidRPr="00290596">
        <w:rPr>
          <w:shd w:val="clear" w:color="auto" w:fill="FFFFFF"/>
          <w:lang w:val="nl-NL"/>
        </w:rPr>
        <w:t xml:space="preserve"> cơ quan, đơn vị thống nhất (</w:t>
      </w:r>
      <w:r w:rsidR="004D32A0" w:rsidRPr="00290596">
        <w:rPr>
          <w:bCs/>
          <w:lang w:val="nl-NL"/>
        </w:rPr>
        <w:t>Ủy ban mặt trận tổ quốc Việt Nam tỉnh Kon Tum</w:t>
      </w:r>
      <w:r w:rsidR="004D32A0">
        <w:rPr>
          <w:lang w:val="it-IT"/>
        </w:rPr>
        <w:t xml:space="preserve">; </w:t>
      </w:r>
      <w:r w:rsidR="00386E6A" w:rsidRPr="00290596">
        <w:rPr>
          <w:lang w:val="it-IT"/>
        </w:rPr>
        <w:t xml:space="preserve">Sở Giao thông Vận tải; </w:t>
      </w:r>
      <w:r w:rsidR="00386E6A" w:rsidRPr="00290596">
        <w:rPr>
          <w:lang w:val="vi-VN"/>
        </w:rPr>
        <w:t>Sở Văn hóa, Thể thao và Du lịch</w:t>
      </w:r>
      <w:r w:rsidR="00386E6A" w:rsidRPr="00877185">
        <w:rPr>
          <w:lang w:val="nl-NL"/>
        </w:rPr>
        <w:t>;</w:t>
      </w:r>
      <w:r w:rsidR="00386E6A" w:rsidRPr="00290596">
        <w:rPr>
          <w:lang w:val="vi-VN"/>
        </w:rPr>
        <w:t xml:space="preserve"> </w:t>
      </w:r>
      <w:r w:rsidR="00386E6A" w:rsidRPr="00290596">
        <w:rPr>
          <w:shd w:val="clear" w:color="auto" w:fill="FFFFFF"/>
          <w:lang w:val="nl-NL"/>
        </w:rPr>
        <w:t>Bộ Chỉ huy Bộ đội Biên phòng tỉnh; Bộ Chỉ huy Quân sự tỉnh Kon Tum; Huyện Tu Mơ Rông; H</w:t>
      </w:r>
      <w:r w:rsidR="00386E6A" w:rsidRPr="00877185">
        <w:rPr>
          <w:lang w:val="nl-NL"/>
        </w:rPr>
        <w:t>uyện Kon Rẫy</w:t>
      </w:r>
      <w:r w:rsidR="004D32A0">
        <w:rPr>
          <w:lang w:val="nl-NL"/>
        </w:rPr>
        <w:t xml:space="preserve">; </w:t>
      </w:r>
      <w:r w:rsidR="004D32A0" w:rsidRPr="00290596">
        <w:rPr>
          <w:shd w:val="clear" w:color="auto" w:fill="FFFFFF"/>
          <w:lang w:val="vi-VN"/>
        </w:rPr>
        <w:t>UBND huyện Kon Plông</w:t>
      </w:r>
      <w:r w:rsidR="00386E6A" w:rsidRPr="00877185">
        <w:rPr>
          <w:lang w:val="nl-NL"/>
        </w:rPr>
        <w:t xml:space="preserve"> và </w:t>
      </w:r>
      <w:r w:rsidR="00386E6A" w:rsidRPr="00877185">
        <w:rPr>
          <w:color w:val="000000"/>
          <w:lang w:val="nl-NL"/>
        </w:rPr>
        <w:t>huyện Ngọc Hồi).</w:t>
      </w:r>
    </w:p>
    <w:p w14:paraId="04B60124" w14:textId="0A9C3797" w:rsidR="00386E6A" w:rsidRPr="00877185" w:rsidRDefault="00386E6A" w:rsidP="00F60A97">
      <w:pPr>
        <w:pStyle w:val="ListParagraph"/>
        <w:spacing w:before="120"/>
        <w:jc w:val="both"/>
        <w:rPr>
          <w:shd w:val="clear" w:color="auto" w:fill="FFFFFF"/>
          <w:lang w:val="nl-NL"/>
        </w:rPr>
      </w:pPr>
      <w:r w:rsidRPr="00290596">
        <w:rPr>
          <w:shd w:val="clear" w:color="auto" w:fill="FFFFFF"/>
          <w:lang w:val="nl-NL"/>
        </w:rPr>
        <w:t>- 0</w:t>
      </w:r>
      <w:r w:rsidR="002076B9">
        <w:rPr>
          <w:shd w:val="clear" w:color="auto" w:fill="FFFFFF"/>
          <w:lang w:val="nl-NL"/>
        </w:rPr>
        <w:t>4</w:t>
      </w:r>
      <w:r w:rsidRPr="00290596">
        <w:rPr>
          <w:shd w:val="clear" w:color="auto" w:fill="FFFFFF"/>
          <w:lang w:val="nl-NL"/>
        </w:rPr>
        <w:t xml:space="preserve"> cơ quan, đơn vị không tham gia góp ý được xem như là thống nhất (</w:t>
      </w:r>
      <w:r w:rsidR="00D3611B" w:rsidRPr="00290596">
        <w:rPr>
          <w:shd w:val="clear" w:color="auto" w:fill="FFFFFF"/>
          <w:lang w:val="vi-VN"/>
        </w:rPr>
        <w:t xml:space="preserve">UBND huyện </w:t>
      </w:r>
      <w:r w:rsidR="00D3611B" w:rsidRPr="00290596">
        <w:rPr>
          <w:shd w:val="clear" w:color="auto" w:fill="FFFFFF"/>
          <w:lang w:val="nl-NL"/>
        </w:rPr>
        <w:t xml:space="preserve">Sa Thầy; </w:t>
      </w:r>
      <w:r w:rsidR="00D3611B" w:rsidRPr="00290596">
        <w:rPr>
          <w:shd w:val="clear" w:color="auto" w:fill="FFFFFF"/>
          <w:lang w:val="vi-VN"/>
        </w:rPr>
        <w:t>UBND huyện</w:t>
      </w:r>
      <w:r w:rsidR="00D3611B" w:rsidRPr="00877185">
        <w:rPr>
          <w:shd w:val="clear" w:color="auto" w:fill="FFFFFF"/>
          <w:lang w:val="nl-NL"/>
        </w:rPr>
        <w:t xml:space="preserve"> Đăk Hà; </w:t>
      </w:r>
      <w:r w:rsidR="00D3611B" w:rsidRPr="00290596">
        <w:rPr>
          <w:shd w:val="clear" w:color="auto" w:fill="FFFFFF"/>
          <w:lang w:val="vi-VN"/>
        </w:rPr>
        <w:t>UBND huyện</w:t>
      </w:r>
      <w:r w:rsidR="00D3611B" w:rsidRPr="00877185">
        <w:rPr>
          <w:shd w:val="clear" w:color="auto" w:fill="FFFFFF"/>
          <w:lang w:val="nl-NL"/>
        </w:rPr>
        <w:t xml:space="preserve"> Đăk Tô; </w:t>
      </w:r>
      <w:r w:rsidR="00D3611B" w:rsidRPr="00290596">
        <w:rPr>
          <w:shd w:val="clear" w:color="auto" w:fill="FFFFFF"/>
          <w:lang w:val="vi-VN"/>
        </w:rPr>
        <w:t>UBND</w:t>
      </w:r>
      <w:r w:rsidR="00D3611B" w:rsidRPr="00877185">
        <w:rPr>
          <w:shd w:val="clear" w:color="auto" w:fill="FFFFFF"/>
          <w:lang w:val="nl-NL"/>
        </w:rPr>
        <w:t xml:space="preserve"> thành phố Kon Tum).</w:t>
      </w:r>
    </w:p>
    <w:p w14:paraId="60EF6D69" w14:textId="260D4033" w:rsidR="007D4D3A" w:rsidRDefault="00D3611B" w:rsidP="00F60A97">
      <w:pPr>
        <w:pStyle w:val="ListParagraph"/>
        <w:spacing w:before="120"/>
        <w:jc w:val="both"/>
        <w:rPr>
          <w:shd w:val="clear" w:color="auto" w:fill="FFFFFF"/>
          <w:lang w:val="nl-NL"/>
        </w:rPr>
      </w:pPr>
      <w:r w:rsidRPr="00877185">
        <w:rPr>
          <w:shd w:val="clear" w:color="auto" w:fill="FFFFFF"/>
          <w:lang w:val="nl-NL"/>
        </w:rPr>
        <w:t xml:space="preserve"> </w:t>
      </w:r>
      <w:r w:rsidR="002D754E" w:rsidRPr="00290596">
        <w:rPr>
          <w:shd w:val="clear" w:color="auto" w:fill="FFFFFF"/>
          <w:lang w:val="nl-NL"/>
        </w:rPr>
        <w:t>- 0</w:t>
      </w:r>
      <w:r w:rsidR="002D754E" w:rsidRPr="00877185">
        <w:rPr>
          <w:shd w:val="clear" w:color="auto" w:fill="FFFFFF"/>
          <w:lang w:val="nl-NL"/>
        </w:rPr>
        <w:t>4</w:t>
      </w:r>
      <w:r w:rsidR="002D754E" w:rsidRPr="00290596">
        <w:rPr>
          <w:shd w:val="clear" w:color="auto" w:fill="FFFFFF"/>
          <w:lang w:val="nl-NL"/>
        </w:rPr>
        <w:t xml:space="preserve"> cơ quan, đơn vị có ý kiến góp ý (Sở Công thương; Sở Tài nguyên và Môi trường; Sở Nông nghiệp và PTNT</w:t>
      </w:r>
      <w:r w:rsidR="002D754E">
        <w:rPr>
          <w:shd w:val="clear" w:color="auto" w:fill="FFFFFF"/>
          <w:lang w:val="nl-NL"/>
        </w:rPr>
        <w:t>;</w:t>
      </w:r>
      <w:r w:rsidR="002D754E" w:rsidRPr="00290596">
        <w:rPr>
          <w:shd w:val="clear" w:color="auto" w:fill="FFFFFF"/>
          <w:lang w:val="nl-NL"/>
        </w:rPr>
        <w:t xml:space="preserve"> Sở Kế hoạch và Đầu tư).</w:t>
      </w:r>
    </w:p>
    <w:p w14:paraId="415F5CB9" w14:textId="696F265C" w:rsidR="00D3611B" w:rsidRDefault="007D4D3A" w:rsidP="00F60A97">
      <w:pPr>
        <w:pStyle w:val="ListParagraph"/>
        <w:spacing w:before="120"/>
        <w:jc w:val="both"/>
        <w:rPr>
          <w:shd w:val="clear" w:color="auto" w:fill="FFFFFF"/>
          <w:lang w:val="nl-NL"/>
        </w:rPr>
      </w:pPr>
      <w:r>
        <w:rPr>
          <w:shd w:val="clear" w:color="auto" w:fill="FFFFFF"/>
          <w:lang w:val="nl-NL"/>
        </w:rPr>
        <w:t>* 03 Bộ được UBND tỉnh lấy ý kiến</w:t>
      </w:r>
      <w:r w:rsidR="00D3611B" w:rsidRPr="00290596">
        <w:rPr>
          <w:shd w:val="clear" w:color="auto" w:fill="FFFFFF"/>
          <w:lang w:val="nl-NL"/>
        </w:rPr>
        <w:t xml:space="preserve"> (Bộ Xây dựng; Bộ Tài nguyên và Môi trường</w:t>
      </w:r>
      <w:r w:rsidR="00E54028">
        <w:rPr>
          <w:shd w:val="clear" w:color="auto" w:fill="FFFFFF"/>
          <w:lang w:val="nl-NL"/>
        </w:rPr>
        <w:t xml:space="preserve">; </w:t>
      </w:r>
      <w:r w:rsidR="00E54028" w:rsidRPr="00290596">
        <w:rPr>
          <w:shd w:val="clear" w:color="auto" w:fill="FFFFFF"/>
          <w:lang w:val="nl-NL"/>
        </w:rPr>
        <w:t>Bộ Công thương</w:t>
      </w:r>
      <w:r w:rsidR="00D3611B" w:rsidRPr="00290596">
        <w:rPr>
          <w:shd w:val="clear" w:color="auto" w:fill="FFFFFF"/>
          <w:lang w:val="nl-NL"/>
        </w:rPr>
        <w:t>)</w:t>
      </w:r>
      <w:r w:rsidR="00F878E8">
        <w:rPr>
          <w:shd w:val="clear" w:color="auto" w:fill="FFFFFF"/>
          <w:lang w:val="nl-NL"/>
        </w:rPr>
        <w:t xml:space="preserve"> </w:t>
      </w:r>
    </w:p>
    <w:p w14:paraId="45511F53" w14:textId="22B028CF" w:rsidR="0010117F" w:rsidRPr="00290596" w:rsidRDefault="0010117F" w:rsidP="00F60A97">
      <w:pPr>
        <w:pStyle w:val="ListParagraph"/>
        <w:spacing w:before="120"/>
        <w:jc w:val="both"/>
        <w:rPr>
          <w:shd w:val="clear" w:color="auto" w:fill="FFFFFF"/>
          <w:lang w:val="nl-NL"/>
        </w:rPr>
      </w:pPr>
    </w:p>
    <w:p w14:paraId="542B7AB5" w14:textId="77777777" w:rsidR="00080D1E" w:rsidRPr="00290596" w:rsidRDefault="008561CC" w:rsidP="0010117F">
      <w:pPr>
        <w:spacing w:before="120"/>
        <w:ind w:left="-720" w:firstLine="1146"/>
        <w:rPr>
          <w:lang w:val="nl-NL"/>
        </w:rPr>
      </w:pPr>
      <w:r w:rsidRPr="00290596">
        <w:rPr>
          <w:lang w:val="nl-NL"/>
        </w:rPr>
        <w:t xml:space="preserve">2. </w:t>
      </w:r>
      <w:r w:rsidR="00475981" w:rsidRPr="00290596">
        <w:rPr>
          <w:shd w:val="clear" w:color="auto" w:fill="FFFFFF"/>
          <w:lang w:val="nl-NL"/>
        </w:rPr>
        <w:t>Tổng hợp tiếp thu giải trình ý kiến góp ý của các đơn vị</w:t>
      </w:r>
      <w:bookmarkStart w:id="0" w:name="_GoBack"/>
      <w:bookmarkEnd w:id="0"/>
    </w:p>
    <w:p w14:paraId="230F5D81" w14:textId="77777777" w:rsidR="00080D1E" w:rsidRPr="00290596" w:rsidRDefault="00080D1E" w:rsidP="00080D1E">
      <w:pPr>
        <w:ind w:left="-720" w:firstLine="720"/>
        <w:rPr>
          <w:lang w:val="nl-NL"/>
        </w:rPr>
      </w:pPr>
    </w:p>
    <w:tbl>
      <w:tblPr>
        <w:tblW w:w="4995" w:type="pct"/>
        <w:tblLayout w:type="fixed"/>
        <w:tblLook w:val="04A0" w:firstRow="1" w:lastRow="0" w:firstColumn="1" w:lastColumn="0" w:noHBand="0" w:noVBand="1"/>
      </w:tblPr>
      <w:tblGrid>
        <w:gridCol w:w="539"/>
        <w:gridCol w:w="1204"/>
        <w:gridCol w:w="1624"/>
        <w:gridCol w:w="8508"/>
        <w:gridCol w:w="3685"/>
      </w:tblGrid>
      <w:tr w:rsidR="00DF3D85" w:rsidRPr="00A464E3" w14:paraId="425D98C4" w14:textId="77777777" w:rsidTr="00A464E3">
        <w:trPr>
          <w:trHeight w:val="538"/>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2D8FC" w14:textId="77777777" w:rsidR="00DF3D85" w:rsidRPr="00A464E3" w:rsidRDefault="00DF3D85" w:rsidP="00DA198A">
            <w:pPr>
              <w:spacing w:before="120"/>
              <w:jc w:val="center"/>
              <w:rPr>
                <w:b/>
                <w:bCs/>
              </w:rPr>
            </w:pPr>
            <w:r w:rsidRPr="00A464E3">
              <w:rPr>
                <w:b/>
                <w:bCs/>
              </w:rPr>
              <w:t>TT</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79CAFB15" w14:textId="77777777" w:rsidR="00DF3D85" w:rsidRPr="00A464E3" w:rsidRDefault="00DF3D85" w:rsidP="00DA198A">
            <w:pPr>
              <w:spacing w:before="120"/>
              <w:jc w:val="center"/>
              <w:rPr>
                <w:b/>
                <w:bCs/>
              </w:rPr>
            </w:pPr>
            <w:r w:rsidRPr="00A464E3">
              <w:rPr>
                <w:b/>
                <w:bCs/>
              </w:rPr>
              <w:t>Cơ quan/đơn vị góp ý</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7B0F5607" w14:textId="77777777" w:rsidR="00DF3D85" w:rsidRPr="00A464E3" w:rsidRDefault="00DF3D85" w:rsidP="00DA198A">
            <w:pPr>
              <w:spacing w:before="120"/>
              <w:jc w:val="center"/>
              <w:rPr>
                <w:b/>
                <w:bCs/>
              </w:rPr>
            </w:pPr>
            <w:r w:rsidRPr="00A464E3">
              <w:rPr>
                <w:b/>
                <w:bCs/>
              </w:rPr>
              <w:t>Văn bản góp ý</w:t>
            </w:r>
          </w:p>
        </w:tc>
        <w:tc>
          <w:tcPr>
            <w:tcW w:w="2734" w:type="pct"/>
            <w:tcBorders>
              <w:top w:val="single" w:sz="4" w:space="0" w:color="auto"/>
              <w:left w:val="nil"/>
              <w:bottom w:val="single" w:sz="4" w:space="0" w:color="auto"/>
              <w:right w:val="single" w:sz="4" w:space="0" w:color="auto"/>
            </w:tcBorders>
            <w:shd w:val="clear" w:color="auto" w:fill="auto"/>
            <w:vAlign w:val="center"/>
            <w:hideMark/>
          </w:tcPr>
          <w:p w14:paraId="16643F0F" w14:textId="77777777" w:rsidR="00DF3D85" w:rsidRPr="00A464E3" w:rsidRDefault="00DF3D85" w:rsidP="006773F6">
            <w:pPr>
              <w:spacing w:before="120"/>
              <w:jc w:val="both"/>
              <w:rPr>
                <w:b/>
                <w:bCs/>
              </w:rPr>
            </w:pPr>
            <w:r w:rsidRPr="00A464E3">
              <w:rPr>
                <w:b/>
                <w:bCs/>
              </w:rPr>
              <w:t>Ý kiến góp ý</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14:paraId="1ED3E750" w14:textId="77777777" w:rsidR="00DF3D85" w:rsidRPr="00A464E3" w:rsidRDefault="00E53A81" w:rsidP="00E53A81">
            <w:pPr>
              <w:spacing w:before="120"/>
              <w:jc w:val="both"/>
              <w:rPr>
                <w:b/>
                <w:bCs/>
              </w:rPr>
            </w:pPr>
            <w:r w:rsidRPr="00A464E3">
              <w:rPr>
                <w:b/>
                <w:bCs/>
              </w:rPr>
              <w:t>Nội dung</w:t>
            </w:r>
            <w:r w:rsidR="00DF3D85" w:rsidRPr="00A464E3">
              <w:rPr>
                <w:b/>
                <w:bCs/>
              </w:rPr>
              <w:t xml:space="preserve"> </w:t>
            </w:r>
            <w:r w:rsidR="00E672E9" w:rsidRPr="00A464E3">
              <w:rPr>
                <w:b/>
                <w:bCs/>
              </w:rPr>
              <w:t xml:space="preserve">tiếp thu, </w:t>
            </w:r>
            <w:r w:rsidR="00DF3D85" w:rsidRPr="00A464E3">
              <w:rPr>
                <w:b/>
                <w:bCs/>
              </w:rPr>
              <w:t>giải trình</w:t>
            </w:r>
            <w:r w:rsidR="00E672E9" w:rsidRPr="00A464E3">
              <w:rPr>
                <w:b/>
                <w:bCs/>
              </w:rPr>
              <w:t xml:space="preserve"> của Sở Xây dựng</w:t>
            </w:r>
          </w:p>
        </w:tc>
      </w:tr>
      <w:tr w:rsidR="00A569D7" w:rsidRPr="00A464E3" w14:paraId="5BEF4BBC" w14:textId="77777777" w:rsidTr="00A464E3">
        <w:trPr>
          <w:trHeight w:val="684"/>
        </w:trPr>
        <w:tc>
          <w:tcPr>
            <w:tcW w:w="173" w:type="pct"/>
            <w:vMerge w:val="restart"/>
            <w:tcBorders>
              <w:top w:val="single" w:sz="4" w:space="0" w:color="auto"/>
              <w:left w:val="single" w:sz="4" w:space="0" w:color="auto"/>
              <w:right w:val="single" w:sz="4" w:space="0" w:color="auto"/>
            </w:tcBorders>
            <w:shd w:val="clear" w:color="auto" w:fill="auto"/>
            <w:vAlign w:val="center"/>
            <w:hideMark/>
          </w:tcPr>
          <w:p w14:paraId="1BBA7398" w14:textId="77777777" w:rsidR="00A569D7" w:rsidRPr="00A464E3" w:rsidRDefault="00A569D7" w:rsidP="00DA198A">
            <w:pPr>
              <w:spacing w:before="120"/>
              <w:jc w:val="center"/>
            </w:pPr>
            <w:r w:rsidRPr="00A464E3">
              <w:t>1</w:t>
            </w:r>
          </w:p>
        </w:tc>
        <w:tc>
          <w:tcPr>
            <w:tcW w:w="387" w:type="pct"/>
            <w:vMerge w:val="restart"/>
            <w:tcBorders>
              <w:top w:val="single" w:sz="4" w:space="0" w:color="auto"/>
              <w:left w:val="nil"/>
              <w:right w:val="single" w:sz="4" w:space="0" w:color="auto"/>
            </w:tcBorders>
            <w:shd w:val="clear" w:color="auto" w:fill="auto"/>
            <w:vAlign w:val="center"/>
            <w:hideMark/>
          </w:tcPr>
          <w:p w14:paraId="5AF14045" w14:textId="376149A5" w:rsidR="00A569D7" w:rsidRPr="00A464E3" w:rsidRDefault="00A569D7" w:rsidP="00DA198A">
            <w:pPr>
              <w:spacing w:before="120"/>
              <w:rPr>
                <w:bCs/>
              </w:rPr>
            </w:pPr>
            <w:r w:rsidRPr="00A464E3">
              <w:rPr>
                <w:bCs/>
              </w:rPr>
              <w:t>Sở tài nguyên và môi trường</w:t>
            </w:r>
          </w:p>
        </w:tc>
        <w:tc>
          <w:tcPr>
            <w:tcW w:w="522" w:type="pct"/>
            <w:vMerge w:val="restart"/>
            <w:tcBorders>
              <w:top w:val="single" w:sz="4" w:space="0" w:color="auto"/>
              <w:left w:val="nil"/>
              <w:right w:val="single" w:sz="4" w:space="0" w:color="auto"/>
            </w:tcBorders>
            <w:shd w:val="clear" w:color="auto" w:fill="auto"/>
            <w:vAlign w:val="center"/>
            <w:hideMark/>
          </w:tcPr>
          <w:p w14:paraId="743B7DCA" w14:textId="0851446B" w:rsidR="00A569D7" w:rsidRPr="00A464E3" w:rsidRDefault="00A569D7" w:rsidP="00BD200F">
            <w:pPr>
              <w:spacing w:before="120"/>
              <w:rPr>
                <w:lang w:val="vi-VN"/>
              </w:rPr>
            </w:pPr>
            <w:r w:rsidRPr="00A464E3">
              <w:rPr>
                <w:bCs/>
                <w:spacing w:val="-2"/>
                <w:lang w:val="nl-NL"/>
              </w:rPr>
              <w:t>Văn bản số 3880/STNMT-TNKSN ngày 29/12/2022</w:t>
            </w:r>
          </w:p>
        </w:tc>
        <w:tc>
          <w:tcPr>
            <w:tcW w:w="2734" w:type="pct"/>
            <w:tcBorders>
              <w:top w:val="single" w:sz="4" w:space="0" w:color="auto"/>
              <w:left w:val="nil"/>
              <w:bottom w:val="single" w:sz="4" w:space="0" w:color="auto"/>
              <w:right w:val="single" w:sz="4" w:space="0" w:color="auto"/>
            </w:tcBorders>
            <w:shd w:val="clear" w:color="000000" w:fill="FFFFFF"/>
            <w:vAlign w:val="center"/>
          </w:tcPr>
          <w:p w14:paraId="19185836" w14:textId="0151AB16" w:rsidR="00A569D7" w:rsidRPr="00A464E3" w:rsidRDefault="00A569D7" w:rsidP="00A569D7">
            <w:pPr>
              <w:widowControl w:val="0"/>
              <w:spacing w:before="60" w:after="120" w:line="340" w:lineRule="exact"/>
              <w:jc w:val="both"/>
              <w:rPr>
                <w:lang w:val="nl-NL"/>
              </w:rPr>
            </w:pPr>
            <w:r w:rsidRPr="00A464E3">
              <w:rPr>
                <w:lang w:val="nl-NL"/>
              </w:rPr>
              <w:t xml:space="preserve">- Qua đối chiếu tọa độ giới hạn một số khu vực khoáng sản tại Danh mục các khu vực đề xuất bổ sung vào quy hoạch và Bản đồ xét thấy chưa thống nhất về diện tích đối với khu vực ký hiệu: BS40, BS52 </w:t>
            </w:r>
            <w:r w:rsidRPr="00A464E3">
              <w:rPr>
                <w:i/>
                <w:iCs/>
                <w:lang w:val="nl-NL"/>
              </w:rPr>
              <w:t>(cụ thể tại hình ảnh kiểm tra kèm theo)</w:t>
            </w:r>
            <w:r w:rsidRPr="00A464E3">
              <w:rPr>
                <w:lang w:val="nl-NL"/>
              </w:rPr>
              <w:t>; đề nghị đơn vị rà soát lại các trường hợp tương tự để tránh vướng mắc khi triển khai thực hiện.</w:t>
            </w:r>
          </w:p>
        </w:tc>
        <w:tc>
          <w:tcPr>
            <w:tcW w:w="1184" w:type="pct"/>
            <w:tcBorders>
              <w:top w:val="single" w:sz="4" w:space="0" w:color="auto"/>
              <w:left w:val="nil"/>
              <w:bottom w:val="single" w:sz="4" w:space="0" w:color="auto"/>
              <w:right w:val="single" w:sz="4" w:space="0" w:color="auto"/>
            </w:tcBorders>
            <w:shd w:val="clear" w:color="000000" w:fill="FFFFFF"/>
            <w:vAlign w:val="center"/>
            <w:hideMark/>
          </w:tcPr>
          <w:p w14:paraId="55FCBD19" w14:textId="1DDE0B4E" w:rsidR="00A569D7" w:rsidRPr="00A464E3" w:rsidRDefault="00A569D7" w:rsidP="000C6220">
            <w:pPr>
              <w:spacing w:before="120"/>
              <w:jc w:val="both"/>
              <w:rPr>
                <w:lang w:val="nl-NL"/>
              </w:rPr>
            </w:pPr>
            <w:r w:rsidRPr="00A464E3">
              <w:rPr>
                <w:lang w:val="nl-NL"/>
              </w:rPr>
              <w:t>Đã rà soát và chỉnh sửa lại toàn bộ các tích đưa vào quy hoạch</w:t>
            </w:r>
          </w:p>
        </w:tc>
      </w:tr>
      <w:tr w:rsidR="00A569D7" w:rsidRPr="00A464E3" w14:paraId="3330D6BF" w14:textId="77777777" w:rsidTr="00A464E3">
        <w:trPr>
          <w:trHeight w:val="684"/>
        </w:trPr>
        <w:tc>
          <w:tcPr>
            <w:tcW w:w="173" w:type="pct"/>
            <w:vMerge/>
            <w:tcBorders>
              <w:left w:val="single" w:sz="4" w:space="0" w:color="auto"/>
              <w:right w:val="single" w:sz="4" w:space="0" w:color="auto"/>
            </w:tcBorders>
            <w:shd w:val="clear" w:color="auto" w:fill="auto"/>
            <w:vAlign w:val="center"/>
          </w:tcPr>
          <w:p w14:paraId="1D304EE6" w14:textId="77777777" w:rsidR="00A569D7" w:rsidRPr="00A464E3" w:rsidRDefault="00A569D7" w:rsidP="00DA198A">
            <w:pPr>
              <w:spacing w:before="120"/>
              <w:jc w:val="center"/>
              <w:rPr>
                <w:lang w:val="nl-NL"/>
              </w:rPr>
            </w:pPr>
          </w:p>
        </w:tc>
        <w:tc>
          <w:tcPr>
            <w:tcW w:w="387" w:type="pct"/>
            <w:vMerge/>
            <w:tcBorders>
              <w:left w:val="nil"/>
              <w:right w:val="single" w:sz="4" w:space="0" w:color="auto"/>
            </w:tcBorders>
            <w:shd w:val="clear" w:color="auto" w:fill="auto"/>
            <w:vAlign w:val="center"/>
          </w:tcPr>
          <w:p w14:paraId="614F8D51" w14:textId="77777777" w:rsidR="00A569D7" w:rsidRPr="00A464E3" w:rsidRDefault="00A569D7" w:rsidP="00DA198A">
            <w:pPr>
              <w:spacing w:before="120"/>
              <w:rPr>
                <w:b/>
                <w:lang w:val="nl-NL"/>
              </w:rPr>
            </w:pPr>
          </w:p>
        </w:tc>
        <w:tc>
          <w:tcPr>
            <w:tcW w:w="522" w:type="pct"/>
            <w:vMerge/>
            <w:tcBorders>
              <w:left w:val="nil"/>
              <w:right w:val="single" w:sz="4" w:space="0" w:color="auto"/>
            </w:tcBorders>
            <w:shd w:val="clear" w:color="auto" w:fill="auto"/>
            <w:vAlign w:val="center"/>
          </w:tcPr>
          <w:p w14:paraId="43ED4C5E" w14:textId="77777777" w:rsidR="00A569D7" w:rsidRPr="00A464E3" w:rsidRDefault="00A569D7" w:rsidP="00BD200F">
            <w:pPr>
              <w:spacing w:before="120"/>
              <w:rPr>
                <w:bCs/>
                <w:spacing w:val="-2"/>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01979A3A" w14:textId="1B50BF38" w:rsidR="00A569D7" w:rsidRPr="00A464E3" w:rsidRDefault="00A569D7" w:rsidP="00CC2D71">
            <w:pPr>
              <w:widowControl w:val="0"/>
              <w:spacing w:before="60" w:after="120" w:line="340" w:lineRule="exact"/>
              <w:jc w:val="both"/>
              <w:rPr>
                <w:lang w:val="nl-NL"/>
              </w:rPr>
            </w:pPr>
            <w:r w:rsidRPr="00A464E3">
              <w:rPr>
                <w:lang w:val="nl-NL"/>
              </w:rPr>
              <w:t xml:space="preserve">- Đối với khu vực bổ sung ký hiệu BS49 nằm sát khu vực ký hiệu BS20; khu vực bổ sung ký hiệu BS50 nằm sát khu vực ký hiệu BS09 </w:t>
            </w:r>
            <w:r w:rsidRPr="00A464E3">
              <w:rPr>
                <w:i/>
                <w:iCs/>
                <w:lang w:val="nl-NL"/>
              </w:rPr>
              <w:t>(cụ thể tại hình ảnh kiểm tra kèm theo)</w:t>
            </w:r>
            <w:r w:rsidRPr="00A464E3">
              <w:rPr>
                <w:lang w:val="nl-NL"/>
              </w:rPr>
              <w:t>; trong khi các khu vực ký hiệu BS20 và BS09 thuộc quy hoạch khoáng sản được UBND tỉnh phê duyệt tại Quyết định số 07/2021/QĐ-UBND ngày 15 tháng 3 năm 2021 của UBND tỉnh. Vì vậy, đề nghị đơn vị xem xét điều chỉnh mở rộng phần diện tích cũ và đưa vào cùng một số hiệu quy hoạch.</w:t>
            </w:r>
          </w:p>
        </w:tc>
        <w:tc>
          <w:tcPr>
            <w:tcW w:w="1184" w:type="pct"/>
            <w:tcBorders>
              <w:top w:val="single" w:sz="4" w:space="0" w:color="auto"/>
              <w:left w:val="nil"/>
              <w:bottom w:val="single" w:sz="4" w:space="0" w:color="auto"/>
              <w:right w:val="single" w:sz="4" w:space="0" w:color="auto"/>
            </w:tcBorders>
            <w:shd w:val="clear" w:color="000000" w:fill="FFFFFF"/>
            <w:vAlign w:val="center"/>
          </w:tcPr>
          <w:p w14:paraId="30046203" w14:textId="608246C5" w:rsidR="00A569D7" w:rsidRPr="00A464E3" w:rsidRDefault="00A569D7" w:rsidP="000C6220">
            <w:pPr>
              <w:spacing w:before="120"/>
              <w:jc w:val="both"/>
              <w:rPr>
                <w:lang w:val="vi-VN"/>
              </w:rPr>
            </w:pPr>
            <w:r w:rsidRPr="00A464E3">
              <w:rPr>
                <w:iCs/>
                <w:lang w:val="nl-NL"/>
              </w:rPr>
              <w:t>Các khu vực BS20 và BS09 đã được phê duyệt tại Quyết định số 07/2021/QĐ-UBND, các khu vực bổ sung quy hoạch đợt này là BS49 và BS50 nằm sát 2 khu vực trên. Nhưng để thuận tiện cho việc quản lý theo từng kỳ quy hoạch thì cần tách riêng là hợp lí.</w:t>
            </w:r>
          </w:p>
        </w:tc>
      </w:tr>
      <w:tr w:rsidR="00A569D7" w:rsidRPr="00A464E3" w14:paraId="3CF5F740" w14:textId="77777777" w:rsidTr="00A464E3">
        <w:trPr>
          <w:trHeight w:val="684"/>
        </w:trPr>
        <w:tc>
          <w:tcPr>
            <w:tcW w:w="173" w:type="pct"/>
            <w:vMerge/>
            <w:tcBorders>
              <w:left w:val="single" w:sz="4" w:space="0" w:color="auto"/>
              <w:bottom w:val="single" w:sz="4" w:space="0" w:color="auto"/>
              <w:right w:val="single" w:sz="4" w:space="0" w:color="auto"/>
            </w:tcBorders>
            <w:shd w:val="clear" w:color="auto" w:fill="auto"/>
            <w:vAlign w:val="center"/>
          </w:tcPr>
          <w:p w14:paraId="57CC99A8" w14:textId="77777777" w:rsidR="00A569D7" w:rsidRPr="00A464E3" w:rsidRDefault="00A569D7" w:rsidP="00DA198A">
            <w:pPr>
              <w:spacing w:before="120"/>
              <w:jc w:val="center"/>
              <w:rPr>
                <w:lang w:val="nl-NL"/>
              </w:rPr>
            </w:pPr>
          </w:p>
        </w:tc>
        <w:tc>
          <w:tcPr>
            <w:tcW w:w="387" w:type="pct"/>
            <w:vMerge/>
            <w:tcBorders>
              <w:left w:val="nil"/>
              <w:bottom w:val="single" w:sz="4" w:space="0" w:color="auto"/>
              <w:right w:val="single" w:sz="4" w:space="0" w:color="auto"/>
            </w:tcBorders>
            <w:shd w:val="clear" w:color="auto" w:fill="auto"/>
            <w:vAlign w:val="center"/>
          </w:tcPr>
          <w:p w14:paraId="5F2F974C" w14:textId="77777777" w:rsidR="00A569D7" w:rsidRPr="00A464E3" w:rsidRDefault="00A569D7" w:rsidP="00DA198A">
            <w:pPr>
              <w:spacing w:before="120"/>
              <w:rPr>
                <w:b/>
                <w:lang w:val="nl-NL"/>
              </w:rPr>
            </w:pPr>
          </w:p>
        </w:tc>
        <w:tc>
          <w:tcPr>
            <w:tcW w:w="522" w:type="pct"/>
            <w:vMerge/>
            <w:tcBorders>
              <w:left w:val="nil"/>
              <w:bottom w:val="single" w:sz="4" w:space="0" w:color="auto"/>
              <w:right w:val="single" w:sz="4" w:space="0" w:color="auto"/>
            </w:tcBorders>
            <w:shd w:val="clear" w:color="auto" w:fill="auto"/>
            <w:vAlign w:val="center"/>
          </w:tcPr>
          <w:p w14:paraId="3FCC3393" w14:textId="77777777" w:rsidR="00A569D7" w:rsidRPr="00A464E3" w:rsidRDefault="00A569D7" w:rsidP="00BD200F">
            <w:pPr>
              <w:spacing w:before="120"/>
              <w:rPr>
                <w:bCs/>
                <w:spacing w:val="-2"/>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17E356A3" w14:textId="34269D3D" w:rsidR="00A569D7" w:rsidRPr="00A464E3" w:rsidRDefault="00A569D7" w:rsidP="00CC2D71">
            <w:pPr>
              <w:widowControl w:val="0"/>
              <w:spacing w:before="60" w:after="120" w:line="340" w:lineRule="exact"/>
              <w:jc w:val="both"/>
              <w:rPr>
                <w:i/>
                <w:iCs/>
                <w:lang w:val="nl-NL"/>
              </w:rPr>
            </w:pPr>
            <w:r w:rsidRPr="00A464E3">
              <w:rPr>
                <w:lang w:val="nl-NL"/>
              </w:rPr>
              <w:t xml:space="preserve">- Tại </w:t>
            </w:r>
            <w:r w:rsidRPr="00A464E3">
              <w:rPr>
                <w:i/>
                <w:iCs/>
                <w:lang w:val="nl-NL"/>
              </w:rPr>
              <w:t>“DANH MỤC CÁC ĐIỂM MỎ ĐỀ XUẤT BỔ SUNG QUY HOẠCH KHOÁNG SẢN”</w:t>
            </w:r>
            <w:r w:rsidRPr="00A464E3">
              <w:rPr>
                <w:lang w:val="nl-NL"/>
              </w:rPr>
              <w:t xml:space="preserve"> tại cột diện tích (ha) đề nghị chỉnh sửa cho thống nhất dấu </w:t>
            </w:r>
            <w:r w:rsidRPr="00A464E3">
              <w:rPr>
                <w:i/>
                <w:iCs/>
                <w:lang w:val="nl-NL"/>
              </w:rPr>
              <w:t>“chấm”</w:t>
            </w:r>
            <w:r w:rsidRPr="00A464E3">
              <w:rPr>
                <w:lang w:val="nl-NL"/>
              </w:rPr>
              <w:t xml:space="preserve"> </w:t>
            </w:r>
            <w:r w:rsidRPr="00A464E3">
              <w:rPr>
                <w:b/>
                <w:lang w:val="nl-NL"/>
              </w:rPr>
              <w:t>thành</w:t>
            </w:r>
            <w:r w:rsidRPr="00A464E3">
              <w:rPr>
                <w:lang w:val="nl-NL"/>
              </w:rPr>
              <w:t xml:space="preserve"> </w:t>
            </w:r>
            <w:r w:rsidRPr="00A464E3">
              <w:rPr>
                <w:i/>
                <w:iCs/>
                <w:lang w:val="nl-NL"/>
              </w:rPr>
              <w:t>“phẩy”</w:t>
            </w:r>
            <w:r w:rsidRPr="00A464E3">
              <w:rPr>
                <w:lang w:val="nl-NL"/>
              </w:rPr>
              <w:t xml:space="preserve">; đồng thời thống nhất tọa độ X thể hiện 7 chữ số và toạ độ Y thể hiện 6 chữ số </w:t>
            </w:r>
            <w:r w:rsidRPr="00A464E3">
              <w:rPr>
                <w:i/>
                <w:iCs/>
                <w:lang w:val="nl-NL"/>
              </w:rPr>
              <w:t>(cụ thể tại hình ảnh kiểm tra kèm theo)</w:t>
            </w:r>
          </w:p>
        </w:tc>
        <w:tc>
          <w:tcPr>
            <w:tcW w:w="1184" w:type="pct"/>
            <w:tcBorders>
              <w:top w:val="single" w:sz="4" w:space="0" w:color="auto"/>
              <w:left w:val="nil"/>
              <w:bottom w:val="single" w:sz="4" w:space="0" w:color="auto"/>
              <w:right w:val="single" w:sz="4" w:space="0" w:color="auto"/>
            </w:tcBorders>
            <w:shd w:val="clear" w:color="000000" w:fill="FFFFFF"/>
            <w:vAlign w:val="center"/>
          </w:tcPr>
          <w:p w14:paraId="077F6297" w14:textId="4F24B08F" w:rsidR="00A569D7" w:rsidRPr="00A464E3" w:rsidRDefault="00A569D7" w:rsidP="000C6220">
            <w:pPr>
              <w:spacing w:before="120"/>
              <w:jc w:val="both"/>
              <w:rPr>
                <w:lang w:val="vi-VN"/>
              </w:rPr>
            </w:pPr>
            <w:r w:rsidRPr="00A464E3">
              <w:rPr>
                <w:spacing w:val="-4"/>
                <w:lang w:val="nl-NL"/>
              </w:rPr>
              <w:t>Thống nhất, đã rà soát và chỉnh sửa</w:t>
            </w:r>
          </w:p>
        </w:tc>
      </w:tr>
      <w:tr w:rsidR="00130215" w:rsidRPr="00A464E3" w14:paraId="2FD262F5" w14:textId="77777777" w:rsidTr="00A464E3">
        <w:trPr>
          <w:trHeight w:val="1373"/>
        </w:trPr>
        <w:tc>
          <w:tcPr>
            <w:tcW w:w="173" w:type="pct"/>
            <w:vMerge w:val="restart"/>
            <w:tcBorders>
              <w:top w:val="single" w:sz="4" w:space="0" w:color="auto"/>
              <w:left w:val="single" w:sz="4" w:space="0" w:color="auto"/>
              <w:right w:val="single" w:sz="4" w:space="0" w:color="auto"/>
            </w:tcBorders>
            <w:shd w:val="clear" w:color="auto" w:fill="auto"/>
            <w:vAlign w:val="center"/>
          </w:tcPr>
          <w:p w14:paraId="06395B78" w14:textId="77777777" w:rsidR="00130215" w:rsidRPr="00A464E3" w:rsidRDefault="00130215" w:rsidP="00D706DF">
            <w:pPr>
              <w:spacing w:before="120"/>
            </w:pPr>
            <w:r w:rsidRPr="00A464E3">
              <w:rPr>
                <w:lang w:val="nl-NL"/>
              </w:rPr>
              <w:t xml:space="preserve"> </w:t>
            </w:r>
            <w:r w:rsidRPr="00A464E3">
              <w:t>2</w:t>
            </w:r>
          </w:p>
        </w:tc>
        <w:tc>
          <w:tcPr>
            <w:tcW w:w="387" w:type="pct"/>
            <w:vMerge w:val="restart"/>
            <w:tcBorders>
              <w:top w:val="single" w:sz="4" w:space="0" w:color="auto"/>
              <w:left w:val="nil"/>
              <w:right w:val="single" w:sz="4" w:space="0" w:color="auto"/>
            </w:tcBorders>
            <w:shd w:val="clear" w:color="auto" w:fill="auto"/>
            <w:vAlign w:val="center"/>
          </w:tcPr>
          <w:p w14:paraId="6176BAD9" w14:textId="3396EE60" w:rsidR="00130215" w:rsidRPr="00A464E3" w:rsidRDefault="00130215" w:rsidP="00D706DF">
            <w:pPr>
              <w:spacing w:before="120"/>
              <w:rPr>
                <w:bCs/>
                <w:lang w:val="nl-NL"/>
              </w:rPr>
            </w:pPr>
            <w:r w:rsidRPr="00A464E3">
              <w:rPr>
                <w:bCs/>
                <w:lang w:val="fr-FR"/>
              </w:rPr>
              <w:t>Sở Công thương</w:t>
            </w:r>
          </w:p>
        </w:tc>
        <w:tc>
          <w:tcPr>
            <w:tcW w:w="522" w:type="pct"/>
            <w:vMerge w:val="restart"/>
            <w:tcBorders>
              <w:top w:val="single" w:sz="4" w:space="0" w:color="auto"/>
              <w:left w:val="nil"/>
              <w:right w:val="single" w:sz="4" w:space="0" w:color="auto"/>
            </w:tcBorders>
            <w:shd w:val="clear" w:color="auto" w:fill="auto"/>
            <w:vAlign w:val="center"/>
          </w:tcPr>
          <w:p w14:paraId="22EAEFC6" w14:textId="7E4960CF" w:rsidR="00130215" w:rsidRPr="00A464E3" w:rsidRDefault="00130215" w:rsidP="005A56D0">
            <w:pPr>
              <w:spacing w:before="120"/>
              <w:rPr>
                <w:lang w:val="vi-VN"/>
              </w:rPr>
            </w:pPr>
            <w:r w:rsidRPr="00A464E3">
              <w:rPr>
                <w:lang w:val="nl-NL"/>
              </w:rPr>
              <w:t>Văn bản số 08/SCT-QLCNKTATMT ngày 04/01/2023</w:t>
            </w:r>
          </w:p>
        </w:tc>
        <w:tc>
          <w:tcPr>
            <w:tcW w:w="2734" w:type="pct"/>
            <w:tcBorders>
              <w:top w:val="single" w:sz="4" w:space="0" w:color="auto"/>
              <w:left w:val="nil"/>
              <w:bottom w:val="single" w:sz="4" w:space="0" w:color="auto"/>
              <w:right w:val="single" w:sz="4" w:space="0" w:color="auto"/>
            </w:tcBorders>
            <w:shd w:val="clear" w:color="000000" w:fill="FFFFFF"/>
            <w:vAlign w:val="center"/>
          </w:tcPr>
          <w:p w14:paraId="7501893B" w14:textId="22413F8E" w:rsidR="00130215" w:rsidRPr="00A464E3" w:rsidRDefault="00130215" w:rsidP="00EA6479">
            <w:pPr>
              <w:spacing w:line="288" w:lineRule="auto"/>
              <w:jc w:val="both"/>
              <w:rPr>
                <w:lang w:val="nl-NL"/>
              </w:rPr>
            </w:pPr>
            <w:r w:rsidRPr="00A464E3">
              <w:rPr>
                <w:lang w:val="nl-NL"/>
              </w:rPr>
              <w:t xml:space="preserve"> </w:t>
            </w:r>
          </w:p>
          <w:p w14:paraId="4CB34730" w14:textId="179A79A0" w:rsidR="00130215" w:rsidRPr="00A464E3" w:rsidRDefault="00130215" w:rsidP="000C6220">
            <w:pPr>
              <w:spacing w:line="288" w:lineRule="auto"/>
              <w:jc w:val="both"/>
              <w:rPr>
                <w:lang w:val="vi-VN"/>
              </w:rPr>
            </w:pPr>
            <w:r w:rsidRPr="00A464E3">
              <w:rPr>
                <w:lang w:val="nl-NL"/>
              </w:rPr>
              <w:t>- Để đáp ứng nhu cầu về khoáng sản phục vụ phát triển kinh tế xã hội của địa phương và tránh việc kiến nghị, khiếu nại sau này, đề nghị Sở Xây dựng rà soát, bổ sung vào quy hoạch các điểm mỏ khoáng sản thuộc danh mục kèm theo văn bản số 1050/SCT-QLCNKTATMT ngày 06 tháng 5 năm 2022 của Sở Công Thương</w:t>
            </w:r>
          </w:p>
        </w:tc>
        <w:tc>
          <w:tcPr>
            <w:tcW w:w="1184" w:type="pct"/>
            <w:tcBorders>
              <w:top w:val="single" w:sz="4" w:space="0" w:color="auto"/>
              <w:left w:val="nil"/>
              <w:bottom w:val="single" w:sz="4" w:space="0" w:color="auto"/>
              <w:right w:val="single" w:sz="4" w:space="0" w:color="auto"/>
            </w:tcBorders>
            <w:shd w:val="clear" w:color="auto" w:fill="auto"/>
            <w:vAlign w:val="center"/>
          </w:tcPr>
          <w:p w14:paraId="7A4E7B05" w14:textId="5E10179B" w:rsidR="00130215" w:rsidRPr="00A464E3" w:rsidRDefault="00E5229B" w:rsidP="00EA6479">
            <w:pPr>
              <w:spacing w:before="120"/>
              <w:jc w:val="both"/>
              <w:rPr>
                <w:lang w:val="nl-NL"/>
              </w:rPr>
            </w:pPr>
            <w:r w:rsidRPr="00A464E3">
              <w:rPr>
                <w:lang w:val="nl-NL"/>
              </w:rPr>
              <w:t>Các điểm mỏ trên được các huyện, thành phố đề xuất vì nhu cầu cấp bách để phụ</w:t>
            </w:r>
            <w:r w:rsidR="00EF5731" w:rsidRPr="00A464E3">
              <w:rPr>
                <w:lang w:val="nl-NL"/>
              </w:rPr>
              <w:t>c</w:t>
            </w:r>
            <w:r w:rsidRPr="00A464E3">
              <w:rPr>
                <w:lang w:val="nl-NL"/>
              </w:rPr>
              <w:t xml:space="preserve"> vụ các dự án chuẩn bị triển khai trên địa bàn</w:t>
            </w:r>
          </w:p>
        </w:tc>
      </w:tr>
      <w:tr w:rsidR="00130215" w:rsidRPr="00A464E3" w14:paraId="16C513A3" w14:textId="77777777" w:rsidTr="00A464E3">
        <w:trPr>
          <w:trHeight w:val="1373"/>
        </w:trPr>
        <w:tc>
          <w:tcPr>
            <w:tcW w:w="173" w:type="pct"/>
            <w:vMerge/>
            <w:tcBorders>
              <w:left w:val="single" w:sz="4" w:space="0" w:color="auto"/>
              <w:right w:val="single" w:sz="4" w:space="0" w:color="auto"/>
            </w:tcBorders>
            <w:shd w:val="clear" w:color="auto" w:fill="auto"/>
            <w:vAlign w:val="center"/>
          </w:tcPr>
          <w:p w14:paraId="7720AE6E" w14:textId="77777777" w:rsidR="00130215" w:rsidRPr="00A464E3" w:rsidRDefault="00130215" w:rsidP="00D706DF">
            <w:pPr>
              <w:spacing w:before="120"/>
              <w:rPr>
                <w:lang w:val="nl-NL"/>
              </w:rPr>
            </w:pPr>
          </w:p>
        </w:tc>
        <w:tc>
          <w:tcPr>
            <w:tcW w:w="387" w:type="pct"/>
            <w:vMerge/>
            <w:tcBorders>
              <w:left w:val="nil"/>
              <w:right w:val="single" w:sz="4" w:space="0" w:color="auto"/>
            </w:tcBorders>
            <w:shd w:val="clear" w:color="auto" w:fill="auto"/>
            <w:vAlign w:val="center"/>
          </w:tcPr>
          <w:p w14:paraId="3BD09EE8" w14:textId="77777777" w:rsidR="00130215" w:rsidRPr="00A464E3" w:rsidRDefault="00130215" w:rsidP="00D706DF">
            <w:pPr>
              <w:spacing w:before="120"/>
              <w:rPr>
                <w:bCs/>
                <w:lang w:val="vi-VN"/>
              </w:rPr>
            </w:pPr>
          </w:p>
        </w:tc>
        <w:tc>
          <w:tcPr>
            <w:tcW w:w="522" w:type="pct"/>
            <w:vMerge/>
            <w:tcBorders>
              <w:left w:val="nil"/>
              <w:right w:val="single" w:sz="4" w:space="0" w:color="auto"/>
            </w:tcBorders>
            <w:shd w:val="clear" w:color="auto" w:fill="auto"/>
            <w:vAlign w:val="center"/>
          </w:tcPr>
          <w:p w14:paraId="4D6D0851" w14:textId="77777777" w:rsidR="00130215" w:rsidRPr="00A464E3" w:rsidRDefault="00130215" w:rsidP="005A56D0">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320B08D4" w14:textId="77777777" w:rsidR="00130215" w:rsidRPr="00A464E3" w:rsidRDefault="00130215" w:rsidP="00E93540">
            <w:pPr>
              <w:spacing w:before="120" w:after="120"/>
              <w:jc w:val="both"/>
              <w:rPr>
                <w:i/>
                <w:lang w:val="nl-NL"/>
              </w:rPr>
            </w:pPr>
            <w:r w:rsidRPr="00A464E3">
              <w:rPr>
                <w:lang w:val="nl-NL"/>
              </w:rPr>
              <w:t xml:space="preserve">- Các điểm mỏ đất san lấp tại thôn Đăk Puih, xã Đăk Tờ Re, huyện Kon Rẫy và thôn Kon Gur, xã Đăk Blà, thành phố Kon Tum: có ảnh hưởng đến một phần diện tích khảo sát Dự án Nhà máy điện gió Đăk Tờ Re do Công ty Cổ phần Đầu tư HLP đề xuất đầu tư </w:t>
            </w:r>
            <w:r w:rsidRPr="00A464E3">
              <w:rPr>
                <w:i/>
                <w:lang w:val="nl-NL"/>
              </w:rPr>
              <w:t>(đã được Ủy ban nhân dân tỉnh báo cáo Bộ Công Thương xem xét thẩm định trình cấp có thẩm quyền bổ sung quy hoạch phát triển điện lực tại văn bản số 3813/UBND-HTKT ngày 09 tháng 10 năm 2020)</w:t>
            </w:r>
          </w:p>
          <w:p w14:paraId="6AE4E3B0" w14:textId="03F31A09" w:rsidR="00130215" w:rsidRPr="00A464E3" w:rsidRDefault="00130215" w:rsidP="00EA6479">
            <w:pPr>
              <w:spacing w:line="288" w:lineRule="auto"/>
              <w:jc w:val="both"/>
              <w:rPr>
                <w:lang w:val="nl-NL"/>
              </w:rPr>
            </w:pPr>
            <w:r w:rsidRPr="00A464E3">
              <w:rPr>
                <w:i/>
                <w:lang w:val="nl-NL"/>
              </w:rPr>
              <w:t xml:space="preserve">- </w:t>
            </w:r>
            <w:r w:rsidRPr="00A464E3">
              <w:rPr>
                <w:lang w:val="nl-NL"/>
              </w:rPr>
              <w:t xml:space="preserve">Điểm mỏ đất san lấp tại thôn 3, xã Tân Lập, huyện Kon Rẫy có ảnh hưởng đến diện tích khảo sát Dự án Nhà máy điện gió Đăk Ruồng do Công ty TNHH Iberdrola Renewables Operation Việt Nam đề xuất đầu tư </w:t>
            </w:r>
            <w:r w:rsidRPr="00A464E3">
              <w:rPr>
                <w:i/>
                <w:lang w:val="nl-NL"/>
              </w:rPr>
              <w:t>(đã được Ủy ban nhân dân tỉnh báo cáo Bộ Công Thương xem xét thẩm định trình cấp có thẩm quyền bổ sung quy hoạch phát triển điện lực tại công văn số 3813/UBND-HTKT ngày 09 tháng 10 năm 2020)</w:t>
            </w:r>
          </w:p>
        </w:tc>
        <w:tc>
          <w:tcPr>
            <w:tcW w:w="1184" w:type="pct"/>
            <w:tcBorders>
              <w:top w:val="single" w:sz="4" w:space="0" w:color="auto"/>
              <w:left w:val="nil"/>
              <w:bottom w:val="single" w:sz="4" w:space="0" w:color="auto"/>
              <w:right w:val="single" w:sz="4" w:space="0" w:color="auto"/>
            </w:tcBorders>
            <w:shd w:val="clear" w:color="auto" w:fill="auto"/>
            <w:vAlign w:val="center"/>
          </w:tcPr>
          <w:p w14:paraId="69FFD617" w14:textId="79F4A42C" w:rsidR="00130215" w:rsidRPr="00A464E3" w:rsidRDefault="00130215" w:rsidP="00EA6479">
            <w:pPr>
              <w:spacing w:before="120"/>
              <w:jc w:val="both"/>
              <w:rPr>
                <w:lang w:val="nl-NL"/>
              </w:rPr>
            </w:pPr>
            <w:r w:rsidRPr="00A464E3">
              <w:rPr>
                <w:spacing w:val="-4"/>
                <w:lang w:val="nl-NL"/>
              </w:rPr>
              <w:t>Các điểm mỏ này là nhu cầu cấp bách để đưa vào quy hoạch thăm dò, khai thác, sử dụng trong thời gian tới của địa phương. Do đó khi thực hiện khai thác sẽ có ý kiến thống nhất với dự án Nhà máy điện gió</w:t>
            </w:r>
          </w:p>
        </w:tc>
      </w:tr>
      <w:tr w:rsidR="00130215" w:rsidRPr="00A464E3" w14:paraId="07D601C5" w14:textId="77777777" w:rsidTr="00A464E3">
        <w:trPr>
          <w:trHeight w:val="1373"/>
        </w:trPr>
        <w:tc>
          <w:tcPr>
            <w:tcW w:w="173" w:type="pct"/>
            <w:vMerge/>
            <w:tcBorders>
              <w:left w:val="single" w:sz="4" w:space="0" w:color="auto"/>
              <w:right w:val="single" w:sz="4" w:space="0" w:color="auto"/>
            </w:tcBorders>
            <w:shd w:val="clear" w:color="auto" w:fill="auto"/>
            <w:vAlign w:val="center"/>
          </w:tcPr>
          <w:p w14:paraId="03A5A174" w14:textId="77777777" w:rsidR="00130215" w:rsidRPr="00A464E3" w:rsidRDefault="00130215" w:rsidP="00D706DF">
            <w:pPr>
              <w:spacing w:before="120"/>
              <w:rPr>
                <w:lang w:val="nl-NL"/>
              </w:rPr>
            </w:pPr>
          </w:p>
        </w:tc>
        <w:tc>
          <w:tcPr>
            <w:tcW w:w="387" w:type="pct"/>
            <w:vMerge/>
            <w:tcBorders>
              <w:left w:val="nil"/>
              <w:right w:val="single" w:sz="4" w:space="0" w:color="auto"/>
            </w:tcBorders>
            <w:shd w:val="clear" w:color="auto" w:fill="auto"/>
            <w:vAlign w:val="center"/>
          </w:tcPr>
          <w:p w14:paraId="042F96AB" w14:textId="77777777" w:rsidR="00130215" w:rsidRPr="00A464E3" w:rsidRDefault="00130215" w:rsidP="00D706DF">
            <w:pPr>
              <w:spacing w:before="120"/>
              <w:rPr>
                <w:bCs/>
                <w:lang w:val="nl-NL"/>
              </w:rPr>
            </w:pPr>
          </w:p>
        </w:tc>
        <w:tc>
          <w:tcPr>
            <w:tcW w:w="522" w:type="pct"/>
            <w:vMerge/>
            <w:tcBorders>
              <w:left w:val="nil"/>
              <w:right w:val="single" w:sz="4" w:space="0" w:color="auto"/>
            </w:tcBorders>
            <w:shd w:val="clear" w:color="auto" w:fill="auto"/>
            <w:vAlign w:val="center"/>
          </w:tcPr>
          <w:p w14:paraId="30B3C217" w14:textId="77777777" w:rsidR="00130215" w:rsidRPr="00A464E3" w:rsidRDefault="00130215" w:rsidP="005A56D0">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7B29A705" w14:textId="689BC44C" w:rsidR="00130215" w:rsidRPr="00A464E3" w:rsidRDefault="00130215" w:rsidP="00EA6479">
            <w:pPr>
              <w:spacing w:line="288" w:lineRule="auto"/>
              <w:jc w:val="both"/>
              <w:rPr>
                <w:lang w:val="nl-NL"/>
              </w:rPr>
            </w:pPr>
            <w:r w:rsidRPr="00A464E3">
              <w:rPr>
                <w:lang w:val="nl-NL"/>
              </w:rPr>
              <w:t>- Điểm mỏ đất san lấp tại thôn Chiên Chiết, xã Đăk Xú, huyện Ngọc Hồi cách đường dây 220kV Xekaman 1-Pleiku 2 gần nhất khoảng 160 mét, đề nghị rà soát, kiểm tra cụ thể để đảm bảo an toàn tuyệt đối cho đường dây nêu trên trước khi bổ sung điểm mỏ này vào quy hoạch.</w:t>
            </w:r>
          </w:p>
        </w:tc>
        <w:tc>
          <w:tcPr>
            <w:tcW w:w="1184" w:type="pct"/>
            <w:tcBorders>
              <w:top w:val="single" w:sz="4" w:space="0" w:color="auto"/>
              <w:left w:val="nil"/>
              <w:bottom w:val="single" w:sz="4" w:space="0" w:color="auto"/>
              <w:right w:val="single" w:sz="4" w:space="0" w:color="auto"/>
            </w:tcBorders>
            <w:shd w:val="clear" w:color="auto" w:fill="auto"/>
            <w:vAlign w:val="center"/>
          </w:tcPr>
          <w:p w14:paraId="07F973A4" w14:textId="5FE7159E" w:rsidR="00130215" w:rsidRPr="00A464E3" w:rsidRDefault="00130215" w:rsidP="00EA6479">
            <w:pPr>
              <w:spacing w:before="120"/>
              <w:jc w:val="both"/>
              <w:rPr>
                <w:lang w:val="nl-NL"/>
              </w:rPr>
            </w:pPr>
            <w:r w:rsidRPr="00A464E3">
              <w:rPr>
                <w:spacing w:val="-4"/>
                <w:lang w:val="nl-NL"/>
              </w:rPr>
              <w:t>Điểm mỏ cách đường dây 220kv khoảng 160m, theo quy định về hành lang an toàn lưới điện là đảm bảo. Nhưng để đảm bảo an toàn tuyệt đối thì trước khi mỏ tiến hành khai thác cần có sự kiểm tra, thống nhất của các ngành liên quan</w:t>
            </w:r>
          </w:p>
        </w:tc>
      </w:tr>
      <w:tr w:rsidR="00130215" w:rsidRPr="00A464E3" w14:paraId="22DD058C" w14:textId="77777777" w:rsidTr="00A464E3">
        <w:trPr>
          <w:trHeight w:val="1373"/>
        </w:trPr>
        <w:tc>
          <w:tcPr>
            <w:tcW w:w="173" w:type="pct"/>
            <w:vMerge/>
            <w:tcBorders>
              <w:left w:val="single" w:sz="4" w:space="0" w:color="auto"/>
              <w:bottom w:val="single" w:sz="4" w:space="0" w:color="auto"/>
              <w:right w:val="single" w:sz="4" w:space="0" w:color="auto"/>
            </w:tcBorders>
            <w:shd w:val="clear" w:color="auto" w:fill="auto"/>
            <w:vAlign w:val="center"/>
          </w:tcPr>
          <w:p w14:paraId="0BBDECFF" w14:textId="77777777" w:rsidR="00130215" w:rsidRPr="00A464E3" w:rsidRDefault="00130215" w:rsidP="00D706DF">
            <w:pPr>
              <w:spacing w:before="120"/>
              <w:rPr>
                <w:lang w:val="nl-NL"/>
              </w:rPr>
            </w:pPr>
          </w:p>
        </w:tc>
        <w:tc>
          <w:tcPr>
            <w:tcW w:w="387" w:type="pct"/>
            <w:vMerge/>
            <w:tcBorders>
              <w:left w:val="nil"/>
              <w:bottom w:val="single" w:sz="4" w:space="0" w:color="auto"/>
              <w:right w:val="single" w:sz="4" w:space="0" w:color="auto"/>
            </w:tcBorders>
            <w:shd w:val="clear" w:color="auto" w:fill="auto"/>
            <w:vAlign w:val="center"/>
          </w:tcPr>
          <w:p w14:paraId="1039AEE2" w14:textId="77777777" w:rsidR="00130215" w:rsidRPr="00A464E3" w:rsidRDefault="00130215" w:rsidP="00D706DF">
            <w:pPr>
              <w:spacing w:before="120"/>
              <w:rPr>
                <w:bCs/>
                <w:lang w:val="nl-NL"/>
              </w:rPr>
            </w:pPr>
          </w:p>
        </w:tc>
        <w:tc>
          <w:tcPr>
            <w:tcW w:w="522" w:type="pct"/>
            <w:vMerge/>
            <w:tcBorders>
              <w:left w:val="nil"/>
              <w:bottom w:val="single" w:sz="4" w:space="0" w:color="auto"/>
              <w:right w:val="single" w:sz="4" w:space="0" w:color="auto"/>
            </w:tcBorders>
            <w:shd w:val="clear" w:color="auto" w:fill="auto"/>
            <w:vAlign w:val="center"/>
          </w:tcPr>
          <w:p w14:paraId="0FF6C914" w14:textId="77777777" w:rsidR="00130215" w:rsidRPr="00A464E3" w:rsidRDefault="00130215" w:rsidP="005A56D0">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098CC7DB" w14:textId="636574FE" w:rsidR="00130215" w:rsidRPr="00A464E3" w:rsidRDefault="00130215" w:rsidP="00EA6479">
            <w:pPr>
              <w:spacing w:line="288" w:lineRule="auto"/>
              <w:jc w:val="both"/>
              <w:rPr>
                <w:lang w:val="nl-NL"/>
              </w:rPr>
            </w:pPr>
            <w:r w:rsidRPr="00A464E3">
              <w:rPr>
                <w:lang w:val="nl-NL"/>
              </w:rPr>
              <w:t xml:space="preserve">- Điểm mỏ cát xây dựng tại thôn Đăk Xế Kơ Ne, xã Đăk Long và thôn Đăk Wet, xã Đăk Pxi, huyện Đăk Hà </w:t>
            </w:r>
            <w:r w:rsidRPr="00A464E3">
              <w:rPr>
                <w:i/>
                <w:lang w:val="nl-NL"/>
              </w:rPr>
              <w:t xml:space="preserve">(diện tích 5 ha): </w:t>
            </w:r>
            <w:r w:rsidRPr="00A464E3">
              <w:rPr>
                <w:lang w:val="nl-NL"/>
              </w:rPr>
              <w:t xml:space="preserve">trước đây, Sở Công Thương đã phối hợp với Ủy ban nhân dân huyện Đăk Hà rà soát, báo cáo Ủy ban nhân dân tỉnh, theo đó điểm mỏ nêu trên không đủ điều kiện để bổ sung vào Quy hoạch thăm dò, khai thác, sử dụng khoáng sản trên địa bàn tỉnh Kon Tum đến năm 2020, tầm nhìn đến năm 2030 </w:t>
            </w:r>
            <w:r w:rsidRPr="00A464E3">
              <w:rPr>
                <w:i/>
                <w:lang w:val="nl-NL"/>
              </w:rPr>
              <w:t>(văn bản số 1877/SCT-QLCNKTATMT ngày 07 tháng 10 năm 2021 của Sở Công Thương)</w:t>
            </w:r>
          </w:p>
        </w:tc>
        <w:tc>
          <w:tcPr>
            <w:tcW w:w="1184" w:type="pct"/>
            <w:tcBorders>
              <w:top w:val="single" w:sz="4" w:space="0" w:color="auto"/>
              <w:left w:val="nil"/>
              <w:bottom w:val="single" w:sz="4" w:space="0" w:color="auto"/>
              <w:right w:val="single" w:sz="4" w:space="0" w:color="auto"/>
            </w:tcBorders>
            <w:shd w:val="clear" w:color="auto" w:fill="auto"/>
            <w:vAlign w:val="center"/>
          </w:tcPr>
          <w:p w14:paraId="78DBC9E3" w14:textId="3C6586EA" w:rsidR="00130215" w:rsidRPr="00A464E3" w:rsidRDefault="00DD06A1" w:rsidP="00412ECB">
            <w:pPr>
              <w:spacing w:before="120"/>
              <w:jc w:val="both"/>
              <w:rPr>
                <w:lang w:val="nl-NL"/>
              </w:rPr>
            </w:pPr>
            <w:r w:rsidRPr="00A464E3">
              <w:rPr>
                <w:lang w:val="nl-NL"/>
              </w:rPr>
              <w:t>Sở Xây dựng đã phối hợp với Liên ngành</w:t>
            </w:r>
            <w:r w:rsidR="00011276" w:rsidRPr="00A464E3">
              <w:rPr>
                <w:lang w:val="nl-NL"/>
              </w:rPr>
              <w:t xml:space="preserve"> gồm:</w:t>
            </w:r>
            <w:r w:rsidRPr="00A464E3">
              <w:rPr>
                <w:lang w:val="nl-NL"/>
              </w:rPr>
              <w:t xml:space="preserve"> </w:t>
            </w:r>
            <w:r w:rsidR="006B7FA3" w:rsidRPr="00A464E3">
              <w:rPr>
                <w:bCs/>
                <w:color w:val="000000"/>
              </w:rPr>
              <w:t>Sở Tài nguyên và Môi trường; Sở Công thương và Ủy ban nhân dân huyện Đăk Hà</w:t>
            </w:r>
            <w:r w:rsidR="006B7FA3" w:rsidRPr="00A464E3">
              <w:rPr>
                <w:lang w:val="nl-NL"/>
              </w:rPr>
              <w:t xml:space="preserve"> </w:t>
            </w:r>
            <w:r w:rsidRPr="00A464E3">
              <w:rPr>
                <w:lang w:val="nl-NL"/>
              </w:rPr>
              <w:t>tổ chức kiểm tra hiện trạng điểm mỏ.</w:t>
            </w:r>
            <w:r w:rsidRPr="00A464E3">
              <w:rPr>
                <w:iCs/>
                <w:color w:val="000000"/>
                <w:lang w:val="nl-NL"/>
              </w:rPr>
              <w:t xml:space="preserve"> Liên ngành thống nhất dịch chuyển vị trí mỏ về hạ lưu sông khoảng hơn 100m. Vị trí sau khi dịch chuyển nằm trong vùng lõi sông không ảnh hưởng đến các khu dân cư, các cơ sở hạ tầng công trình như Cầu Đăk Wet, đập thủy điện Đăk Pxi 5, đường giao thông, ... </w:t>
            </w:r>
          </w:p>
        </w:tc>
      </w:tr>
      <w:tr w:rsidR="003C180B" w:rsidRPr="00A464E3" w14:paraId="6DFB7406" w14:textId="77777777" w:rsidTr="00A464E3">
        <w:trPr>
          <w:trHeight w:val="1109"/>
        </w:trPr>
        <w:tc>
          <w:tcPr>
            <w:tcW w:w="173" w:type="pct"/>
            <w:vMerge w:val="restart"/>
            <w:tcBorders>
              <w:top w:val="single" w:sz="4" w:space="0" w:color="auto"/>
              <w:left w:val="single" w:sz="4" w:space="0" w:color="auto"/>
              <w:right w:val="single" w:sz="4" w:space="0" w:color="auto"/>
            </w:tcBorders>
            <w:shd w:val="clear" w:color="auto" w:fill="auto"/>
            <w:vAlign w:val="center"/>
          </w:tcPr>
          <w:p w14:paraId="50B710E7" w14:textId="4A444CB3" w:rsidR="003C180B" w:rsidRPr="00A464E3" w:rsidRDefault="003C180B" w:rsidP="00D706DF">
            <w:pPr>
              <w:spacing w:before="120"/>
              <w:rPr>
                <w:lang w:val="nl-NL"/>
              </w:rPr>
            </w:pPr>
            <w:r w:rsidRPr="00A464E3">
              <w:rPr>
                <w:lang w:val="nl-NL"/>
              </w:rPr>
              <w:t>3</w:t>
            </w:r>
          </w:p>
        </w:tc>
        <w:tc>
          <w:tcPr>
            <w:tcW w:w="387" w:type="pct"/>
            <w:vMerge w:val="restart"/>
            <w:tcBorders>
              <w:top w:val="single" w:sz="4" w:space="0" w:color="auto"/>
              <w:left w:val="nil"/>
              <w:right w:val="single" w:sz="4" w:space="0" w:color="auto"/>
            </w:tcBorders>
            <w:shd w:val="clear" w:color="auto" w:fill="auto"/>
            <w:vAlign w:val="center"/>
          </w:tcPr>
          <w:p w14:paraId="1A1044B0" w14:textId="6636400E" w:rsidR="003C180B" w:rsidRPr="00A464E3" w:rsidRDefault="003C180B" w:rsidP="00D706DF">
            <w:pPr>
              <w:spacing w:before="120"/>
              <w:rPr>
                <w:bCs/>
                <w:lang w:val="nl-NL"/>
              </w:rPr>
            </w:pPr>
            <w:r w:rsidRPr="00A464E3">
              <w:rPr>
                <w:bCs/>
                <w:lang w:val="nl-NL"/>
              </w:rPr>
              <w:t>Sở Kế hoạch và Đầu tư</w:t>
            </w:r>
          </w:p>
        </w:tc>
        <w:tc>
          <w:tcPr>
            <w:tcW w:w="522" w:type="pct"/>
            <w:vMerge w:val="restart"/>
            <w:tcBorders>
              <w:top w:val="single" w:sz="4" w:space="0" w:color="auto"/>
              <w:left w:val="nil"/>
              <w:right w:val="single" w:sz="4" w:space="0" w:color="auto"/>
            </w:tcBorders>
            <w:shd w:val="clear" w:color="auto" w:fill="auto"/>
            <w:vAlign w:val="center"/>
          </w:tcPr>
          <w:p w14:paraId="7D27D473" w14:textId="5647730D" w:rsidR="003C180B" w:rsidRPr="00A464E3" w:rsidRDefault="003C180B" w:rsidP="005A56D0">
            <w:pPr>
              <w:spacing w:before="120"/>
              <w:rPr>
                <w:lang w:val="nl-NL"/>
              </w:rPr>
            </w:pPr>
            <w:r w:rsidRPr="00A464E3">
              <w:rPr>
                <w:lang w:val="nl-NL"/>
              </w:rPr>
              <w:t>Văn bản số 4142/SKHĐT-KT ngày 30/12/2022</w:t>
            </w:r>
          </w:p>
        </w:tc>
        <w:tc>
          <w:tcPr>
            <w:tcW w:w="2734" w:type="pct"/>
            <w:tcBorders>
              <w:top w:val="single" w:sz="4" w:space="0" w:color="auto"/>
              <w:left w:val="nil"/>
              <w:bottom w:val="single" w:sz="4" w:space="0" w:color="auto"/>
              <w:right w:val="single" w:sz="4" w:space="0" w:color="auto"/>
            </w:tcBorders>
            <w:shd w:val="clear" w:color="000000" w:fill="FFFFFF"/>
            <w:vAlign w:val="center"/>
          </w:tcPr>
          <w:p w14:paraId="7C0E28AC" w14:textId="6C1DC742" w:rsidR="003C180B" w:rsidRPr="00A464E3" w:rsidRDefault="003C180B" w:rsidP="00EA6479">
            <w:pPr>
              <w:spacing w:line="288" w:lineRule="auto"/>
              <w:jc w:val="both"/>
              <w:rPr>
                <w:lang w:val="nl-NL"/>
              </w:rPr>
            </w:pPr>
            <w:r w:rsidRPr="00A464E3">
              <w:rPr>
                <w:iCs/>
                <w:color w:val="000000" w:themeColor="text1"/>
                <w:lang w:val="nl-NL"/>
              </w:rPr>
              <w:t>Đề nghị đơn vị soạn thảo đánh số thứ tự của dự thảo Nghị quyết để phù hợp với quy định tại Điều 39 Nghị định số 34/2016/NĐ-CP ngày 14 tháng 5 năm 2016 của Chính phủ về quy định chi tiết một số điều và biện pháp thi hành Luật ban hành văn bản quy phạm pháp luật</w:t>
            </w:r>
          </w:p>
        </w:tc>
        <w:tc>
          <w:tcPr>
            <w:tcW w:w="1184" w:type="pct"/>
            <w:tcBorders>
              <w:top w:val="single" w:sz="4" w:space="0" w:color="auto"/>
              <w:left w:val="nil"/>
              <w:bottom w:val="single" w:sz="4" w:space="0" w:color="auto"/>
              <w:right w:val="single" w:sz="4" w:space="0" w:color="auto"/>
            </w:tcBorders>
            <w:shd w:val="clear" w:color="auto" w:fill="auto"/>
            <w:vAlign w:val="center"/>
          </w:tcPr>
          <w:p w14:paraId="463B5A13" w14:textId="15557F0E" w:rsidR="003C180B" w:rsidRPr="00A464E3" w:rsidRDefault="003C180B" w:rsidP="00EA6479">
            <w:pPr>
              <w:spacing w:before="120"/>
              <w:jc w:val="both"/>
              <w:rPr>
                <w:lang w:val="nl-NL"/>
              </w:rPr>
            </w:pPr>
            <w:r w:rsidRPr="00A464E3">
              <w:rPr>
                <w:spacing w:val="-4"/>
                <w:lang w:val="nl-NL"/>
              </w:rPr>
              <w:t>Tiếp thu, đã chỉnh sửa</w:t>
            </w:r>
          </w:p>
        </w:tc>
      </w:tr>
      <w:tr w:rsidR="003C180B" w:rsidRPr="00A464E3" w14:paraId="668776B2" w14:textId="77777777" w:rsidTr="00A464E3">
        <w:trPr>
          <w:trHeight w:val="1373"/>
        </w:trPr>
        <w:tc>
          <w:tcPr>
            <w:tcW w:w="173" w:type="pct"/>
            <w:vMerge/>
            <w:tcBorders>
              <w:left w:val="single" w:sz="4" w:space="0" w:color="auto"/>
              <w:bottom w:val="single" w:sz="4" w:space="0" w:color="auto"/>
              <w:right w:val="single" w:sz="4" w:space="0" w:color="auto"/>
            </w:tcBorders>
            <w:shd w:val="clear" w:color="auto" w:fill="auto"/>
            <w:vAlign w:val="center"/>
          </w:tcPr>
          <w:p w14:paraId="29B93F99" w14:textId="77777777" w:rsidR="003C180B" w:rsidRPr="00A464E3" w:rsidRDefault="003C180B" w:rsidP="00D706DF">
            <w:pPr>
              <w:spacing w:before="120"/>
              <w:rPr>
                <w:lang w:val="nl-NL"/>
              </w:rPr>
            </w:pPr>
          </w:p>
        </w:tc>
        <w:tc>
          <w:tcPr>
            <w:tcW w:w="387" w:type="pct"/>
            <w:vMerge/>
            <w:tcBorders>
              <w:left w:val="nil"/>
              <w:bottom w:val="single" w:sz="4" w:space="0" w:color="auto"/>
              <w:right w:val="single" w:sz="4" w:space="0" w:color="auto"/>
            </w:tcBorders>
            <w:shd w:val="clear" w:color="auto" w:fill="auto"/>
            <w:vAlign w:val="center"/>
          </w:tcPr>
          <w:p w14:paraId="42C9A1A8" w14:textId="77777777" w:rsidR="003C180B" w:rsidRPr="00A464E3" w:rsidRDefault="003C180B" w:rsidP="00D706DF">
            <w:pPr>
              <w:spacing w:before="120"/>
              <w:rPr>
                <w:bCs/>
                <w:lang w:val="nl-NL"/>
              </w:rPr>
            </w:pPr>
          </w:p>
        </w:tc>
        <w:tc>
          <w:tcPr>
            <w:tcW w:w="522" w:type="pct"/>
            <w:vMerge/>
            <w:tcBorders>
              <w:left w:val="nil"/>
              <w:bottom w:val="single" w:sz="4" w:space="0" w:color="auto"/>
              <w:right w:val="single" w:sz="4" w:space="0" w:color="auto"/>
            </w:tcBorders>
            <w:shd w:val="clear" w:color="auto" w:fill="auto"/>
            <w:vAlign w:val="center"/>
          </w:tcPr>
          <w:p w14:paraId="4C4B7209" w14:textId="77777777" w:rsidR="003C180B" w:rsidRPr="00A464E3" w:rsidRDefault="003C180B" w:rsidP="005A56D0">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0562B278" w14:textId="33246A01" w:rsidR="007804ED" w:rsidRPr="00A464E3" w:rsidRDefault="003C180B" w:rsidP="00EA6479">
            <w:pPr>
              <w:spacing w:line="288" w:lineRule="auto"/>
              <w:jc w:val="both"/>
              <w:rPr>
                <w:noProof/>
                <w:color w:val="000000"/>
                <w:lang w:val="nl-NL" w:eastAsia="vi-VN"/>
              </w:rPr>
            </w:pPr>
            <w:r w:rsidRPr="00A464E3">
              <w:rPr>
                <w:noProof/>
                <w:color w:val="000000"/>
                <w:lang w:val="nl-NL" w:eastAsia="vi-VN"/>
              </w:rPr>
              <w:t xml:space="preserve">Đề nghị đơn vị soạn thảo thay thế Nghị quyết số 751/2019/UBTVQH14 ngày 16 tháng 8 năm 2019 của Ủy ban thường vụ Quốc hội về giải thích một số điều của Luật Quy hoạch </w:t>
            </w:r>
            <w:r w:rsidRPr="00A464E3">
              <w:rPr>
                <w:i/>
                <w:noProof/>
                <w:color w:val="000000"/>
                <w:lang w:val="nl-NL" w:eastAsia="vi-VN"/>
              </w:rPr>
              <w:t>(hiện đã hết hiệu lực</w:t>
            </w:r>
            <w:r w:rsidRPr="00A464E3">
              <w:rPr>
                <w:noProof/>
                <w:color w:val="000000"/>
                <w:lang w:val="nl-NL" w:eastAsia="vi-VN"/>
              </w:rPr>
              <w:t>) bằng Nghị quyết số 61/2022/QH15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tc>
        <w:tc>
          <w:tcPr>
            <w:tcW w:w="1184" w:type="pct"/>
            <w:tcBorders>
              <w:top w:val="single" w:sz="4" w:space="0" w:color="auto"/>
              <w:left w:val="nil"/>
              <w:bottom w:val="single" w:sz="4" w:space="0" w:color="auto"/>
              <w:right w:val="single" w:sz="4" w:space="0" w:color="auto"/>
            </w:tcBorders>
            <w:shd w:val="clear" w:color="auto" w:fill="auto"/>
            <w:vAlign w:val="center"/>
          </w:tcPr>
          <w:p w14:paraId="366547FD" w14:textId="58A2F35E" w:rsidR="003C180B" w:rsidRPr="00A464E3" w:rsidRDefault="003C180B" w:rsidP="00EA6479">
            <w:pPr>
              <w:spacing w:before="120"/>
              <w:jc w:val="both"/>
              <w:rPr>
                <w:lang w:val="nl-NL"/>
              </w:rPr>
            </w:pPr>
            <w:r w:rsidRPr="00A464E3">
              <w:rPr>
                <w:spacing w:val="-4"/>
                <w:lang w:val="nl-NL"/>
              </w:rPr>
              <w:t>Tiếp thu, đã chỉnh sửa</w:t>
            </w:r>
          </w:p>
        </w:tc>
      </w:tr>
      <w:tr w:rsidR="009B04ED" w:rsidRPr="00A464E3" w14:paraId="72CDDC0A" w14:textId="77777777" w:rsidTr="00A464E3">
        <w:trPr>
          <w:trHeight w:val="1373"/>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74876D" w14:textId="6419E9F4" w:rsidR="009B04ED" w:rsidRPr="00A464E3" w:rsidRDefault="009B04ED" w:rsidP="00703A0D">
            <w:pPr>
              <w:spacing w:before="120"/>
              <w:rPr>
                <w:lang w:val="nl-NL"/>
              </w:rPr>
            </w:pPr>
            <w:r w:rsidRPr="00A464E3">
              <w:rPr>
                <w:lang w:val="nl-NL"/>
              </w:rPr>
              <w:t>4</w:t>
            </w:r>
          </w:p>
        </w:tc>
        <w:tc>
          <w:tcPr>
            <w:tcW w:w="387" w:type="pct"/>
            <w:vMerge w:val="restart"/>
            <w:tcBorders>
              <w:top w:val="single" w:sz="4" w:space="0" w:color="auto"/>
              <w:left w:val="nil"/>
              <w:bottom w:val="single" w:sz="4" w:space="0" w:color="auto"/>
              <w:right w:val="single" w:sz="4" w:space="0" w:color="auto"/>
            </w:tcBorders>
            <w:shd w:val="clear" w:color="auto" w:fill="auto"/>
            <w:vAlign w:val="center"/>
          </w:tcPr>
          <w:p w14:paraId="1839EAA5" w14:textId="77777777" w:rsidR="009B04ED" w:rsidRPr="00A464E3" w:rsidRDefault="009B04ED" w:rsidP="00703A0D">
            <w:pPr>
              <w:rPr>
                <w:color w:val="000000"/>
                <w:lang w:val="nl-NL"/>
              </w:rPr>
            </w:pPr>
            <w:r w:rsidRPr="00A464E3">
              <w:rPr>
                <w:color w:val="000000"/>
                <w:lang w:val="nl-NL"/>
              </w:rPr>
              <w:t xml:space="preserve">Sở Nông nghiệp và Phát triển nông thôn </w:t>
            </w:r>
          </w:p>
          <w:p w14:paraId="0A7C49A7" w14:textId="77777777" w:rsidR="009B04ED" w:rsidRPr="00A464E3" w:rsidRDefault="009B04ED" w:rsidP="00703A0D">
            <w:pPr>
              <w:spacing w:before="120"/>
              <w:rPr>
                <w:bCs/>
                <w:lang w:val="nl-NL"/>
              </w:rPr>
            </w:pPr>
          </w:p>
        </w:tc>
        <w:tc>
          <w:tcPr>
            <w:tcW w:w="522" w:type="pct"/>
            <w:vMerge w:val="restart"/>
            <w:tcBorders>
              <w:top w:val="single" w:sz="4" w:space="0" w:color="auto"/>
              <w:left w:val="nil"/>
              <w:bottom w:val="single" w:sz="4" w:space="0" w:color="auto"/>
              <w:right w:val="single" w:sz="4" w:space="0" w:color="auto"/>
            </w:tcBorders>
            <w:shd w:val="clear" w:color="auto" w:fill="auto"/>
            <w:vAlign w:val="center"/>
          </w:tcPr>
          <w:p w14:paraId="09A07EA4" w14:textId="77777777" w:rsidR="009B04ED" w:rsidRPr="00A464E3" w:rsidRDefault="009B04ED" w:rsidP="00703A0D">
            <w:pPr>
              <w:rPr>
                <w:lang w:val="nl-NL"/>
              </w:rPr>
            </w:pPr>
            <w:r w:rsidRPr="00A464E3">
              <w:rPr>
                <w:lang w:val="nl-NL"/>
              </w:rPr>
              <w:t>Văn bản số 312/SNN-KH ngày 12/02/2023</w:t>
            </w:r>
          </w:p>
          <w:p w14:paraId="5D22321B" w14:textId="77777777" w:rsidR="009B04ED" w:rsidRPr="00A464E3" w:rsidRDefault="009B04ED" w:rsidP="00703A0D">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03E9169F" w14:textId="069266AA" w:rsidR="009B04ED" w:rsidRPr="00A464E3" w:rsidRDefault="009B04ED" w:rsidP="00EA6479">
            <w:pPr>
              <w:spacing w:line="288" w:lineRule="auto"/>
              <w:jc w:val="both"/>
              <w:rPr>
                <w:noProof/>
                <w:color w:val="000000"/>
                <w:lang w:val="nl-NL" w:eastAsia="vi-VN"/>
              </w:rPr>
            </w:pPr>
            <w:r w:rsidRPr="00A464E3">
              <w:rPr>
                <w:noProof/>
                <w:color w:val="000000"/>
                <w:lang w:val="nl-NL" w:eastAsia="vi-VN"/>
              </w:rPr>
              <w:t>- Về dự thảo Tờ trình của UBND tỉnh và Nghị quyết của Hội đồng nhân dân tỉnh “về sửa đổi, bổ sung một số điều của Nghị quyết số 26/2014/NQ-HÐND ngày 11 tháng 12 năm 2014 của Hội đồng nhân dân tỉnh về Quy hoạch thăm dò, khai thác, sử dụng khoáng sản tỉnh Kon Tum đến năm 2020, tầm nhìn đến năm 2030".  Về cơ bản Sở Nông nghiệp và Phát triển nông thôn thống nhất đối với các nội dung như dự thảo do Sở Xây dựng biên soạn</w:t>
            </w:r>
          </w:p>
        </w:tc>
        <w:tc>
          <w:tcPr>
            <w:tcW w:w="1184" w:type="pct"/>
            <w:tcBorders>
              <w:top w:val="single" w:sz="4" w:space="0" w:color="auto"/>
              <w:left w:val="nil"/>
              <w:bottom w:val="single" w:sz="4" w:space="0" w:color="auto"/>
              <w:right w:val="single" w:sz="4" w:space="0" w:color="auto"/>
            </w:tcBorders>
            <w:shd w:val="clear" w:color="auto" w:fill="auto"/>
            <w:vAlign w:val="center"/>
          </w:tcPr>
          <w:p w14:paraId="201578F4" w14:textId="77777777" w:rsidR="009B04ED" w:rsidRPr="00A464E3" w:rsidRDefault="009B04ED" w:rsidP="00EA6479">
            <w:pPr>
              <w:spacing w:before="120"/>
              <w:jc w:val="both"/>
              <w:rPr>
                <w:spacing w:val="-4"/>
                <w:lang w:val="nl-NL"/>
              </w:rPr>
            </w:pPr>
          </w:p>
        </w:tc>
      </w:tr>
      <w:tr w:rsidR="009B04ED" w:rsidRPr="00A464E3" w14:paraId="43AFE252" w14:textId="77777777" w:rsidTr="00A464E3">
        <w:trPr>
          <w:trHeight w:val="968"/>
        </w:trPr>
        <w:tc>
          <w:tcPr>
            <w:tcW w:w="1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01300B" w14:textId="5581800A" w:rsidR="009B04ED" w:rsidRPr="00A464E3" w:rsidRDefault="009B04ED" w:rsidP="00703A0D">
            <w:pPr>
              <w:spacing w:before="120"/>
              <w:rPr>
                <w:lang w:val="nl-NL"/>
              </w:rPr>
            </w:pPr>
          </w:p>
        </w:tc>
        <w:tc>
          <w:tcPr>
            <w:tcW w:w="387" w:type="pct"/>
            <w:vMerge/>
            <w:tcBorders>
              <w:top w:val="single" w:sz="4" w:space="0" w:color="auto"/>
              <w:left w:val="nil"/>
              <w:bottom w:val="single" w:sz="4" w:space="0" w:color="auto"/>
              <w:right w:val="single" w:sz="4" w:space="0" w:color="auto"/>
            </w:tcBorders>
            <w:shd w:val="clear" w:color="auto" w:fill="auto"/>
            <w:vAlign w:val="center"/>
          </w:tcPr>
          <w:p w14:paraId="0F9D1C0C" w14:textId="77777777" w:rsidR="009B04ED" w:rsidRPr="00A464E3" w:rsidRDefault="009B04ED" w:rsidP="00703A0D">
            <w:pPr>
              <w:spacing w:before="120"/>
              <w:rPr>
                <w:lang w:val="nl-NL"/>
              </w:rPr>
            </w:pPr>
          </w:p>
        </w:tc>
        <w:tc>
          <w:tcPr>
            <w:tcW w:w="522" w:type="pct"/>
            <w:vMerge/>
            <w:tcBorders>
              <w:top w:val="single" w:sz="4" w:space="0" w:color="auto"/>
              <w:left w:val="nil"/>
              <w:bottom w:val="single" w:sz="4" w:space="0" w:color="auto"/>
              <w:right w:val="single" w:sz="4" w:space="0" w:color="auto"/>
            </w:tcBorders>
            <w:shd w:val="clear" w:color="auto" w:fill="auto"/>
            <w:vAlign w:val="center"/>
          </w:tcPr>
          <w:p w14:paraId="1949AA30" w14:textId="77777777" w:rsidR="009B04ED" w:rsidRPr="00A464E3" w:rsidRDefault="009B04ED" w:rsidP="00703A0D">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tcPr>
          <w:p w14:paraId="5E5B0A6F" w14:textId="77777777" w:rsidR="009B04ED" w:rsidRPr="00A464E3" w:rsidRDefault="009B04ED" w:rsidP="00703A0D">
            <w:pPr>
              <w:autoSpaceDE w:val="0"/>
              <w:autoSpaceDN w:val="0"/>
              <w:adjustRightInd w:val="0"/>
              <w:spacing w:before="120" w:line="276" w:lineRule="auto"/>
              <w:jc w:val="both"/>
              <w:rPr>
                <w:lang w:val="nl-NL"/>
              </w:rPr>
            </w:pPr>
            <w:r w:rsidRPr="00A464E3">
              <w:rPr>
                <w:lang w:val="nl-NL"/>
              </w:rPr>
              <w:t>- Về khu vực các điểm khoáng sản điều chỉnh, bổ sung trong Quy hoạch khoáng sản trên địa bàn tỉnh Kon Tum đợt này:</w:t>
            </w:r>
          </w:p>
          <w:p w14:paraId="65AC2F78" w14:textId="77777777" w:rsidR="009B04ED" w:rsidRPr="00A464E3" w:rsidRDefault="009B04ED" w:rsidP="00703A0D">
            <w:pPr>
              <w:autoSpaceDE w:val="0"/>
              <w:autoSpaceDN w:val="0"/>
              <w:adjustRightInd w:val="0"/>
              <w:spacing w:before="120" w:line="276" w:lineRule="auto"/>
              <w:jc w:val="both"/>
              <w:rPr>
                <w:lang w:val="nl-NL"/>
              </w:rPr>
            </w:pPr>
            <w:r w:rsidRPr="00A464E3">
              <w:rPr>
                <w:lang w:val="nl-NL"/>
              </w:rPr>
              <w:t>+ Không chuyển mục đích sử dụng rừng tự nhiên sang mục đích khác, trừ dự án trọng điểm, cấp thiết được quy định tại khoản 2 Điều 14 Luật Lâm nghiệp 2017; tiêu chí xác định dự án cấp thiết được chuyển mục đích sử dụng rừng tự nhiên sang mục đích khác được quy định tại Khoản 2, Điều 1, Nghị định 83/2020/NĐ-CP ngày 15/7/2020 của Chính phủ.</w:t>
            </w:r>
          </w:p>
          <w:p w14:paraId="19A6050F" w14:textId="77777777" w:rsidR="009B04ED" w:rsidRPr="00A464E3" w:rsidRDefault="009B04ED" w:rsidP="00703A0D">
            <w:pPr>
              <w:autoSpaceDE w:val="0"/>
              <w:autoSpaceDN w:val="0"/>
              <w:adjustRightInd w:val="0"/>
              <w:spacing w:before="120" w:line="276" w:lineRule="auto"/>
              <w:jc w:val="both"/>
              <w:rPr>
                <w:lang w:val="nl-NL"/>
              </w:rPr>
            </w:pPr>
            <w:r w:rsidRPr="00A464E3">
              <w:rPr>
                <w:lang w:val="nl-NL"/>
              </w:rPr>
              <w:t>+ Không chuyển rừng tự nhiên thuộc quy hoạch rừng đặc dụng, rừng phòng hộ sang mục đích khác để triển khai các hoạt động khoáng sản được quy định tại Khoản 2, Điều 1, Nghị định 83/2020/NĐ-CP ngày 15/7/2020 của Chính phủ.</w:t>
            </w:r>
          </w:p>
          <w:p w14:paraId="3A12C543" w14:textId="4EF23F30" w:rsidR="00540954" w:rsidRPr="00A464E3" w:rsidRDefault="009B04ED" w:rsidP="00703A0D">
            <w:pPr>
              <w:spacing w:after="60"/>
              <w:jc w:val="both"/>
              <w:rPr>
                <w:lang w:val="nl-NL"/>
              </w:rPr>
            </w:pPr>
            <w:r w:rsidRPr="00A464E3">
              <w:rPr>
                <w:lang w:val="nl-NL"/>
              </w:rPr>
              <w:t>+ Trước khi thực hiện đấu giá quyền khai thác khoáng sản tại các khu vực được Hội đồng nhân dân tỉnh điều chỉnh, bổ sung vào quy hoạch thăm dò, khai thác, sử dụng khoáng sản tỉnh Kon Tum đến năm 2020, tầm nhìn đến năm 2030 cần thiết phải đối chiếu với quy hoạch 3 loại rừng trên địa bàn tỉnh đang quản lý. Có đăng ký danh mục các điểm mỏ dự kiến bổ sung trong quy hoạch về Sở Nông nghiệp và Phát triển nông thôn để tham mưu Ủy ban nhân dân tỉnh điều chỉnh nội dung trong Quy hoạch 03 loại rừng (</w:t>
            </w:r>
            <w:r w:rsidRPr="00A464E3">
              <w:rPr>
                <w:i/>
                <w:lang w:val="nl-NL"/>
              </w:rPr>
              <w:t>nếu có</w:t>
            </w:r>
            <w:r w:rsidRPr="00A464E3">
              <w:rPr>
                <w:lang w:val="nl-NL"/>
              </w:rPr>
              <w:t xml:space="preserve">) theo chỉ đạo của Ủy ban nhân dân tỉnh tại Thông báo số 480/TB-VP ngày </w:t>
            </w:r>
            <w:r w:rsidRPr="00A464E3">
              <w:rPr>
                <w:lang w:val="vi-VN"/>
              </w:rPr>
              <w:t xml:space="preserve">31/01/2023 về Kết luận của Phó </w:t>
            </w:r>
            <w:r w:rsidRPr="00A464E3">
              <w:rPr>
                <w:lang w:val="nl-NL"/>
              </w:rPr>
              <w:t>C</w:t>
            </w:r>
            <w:r w:rsidRPr="00A464E3">
              <w:rPr>
                <w:lang w:val="vi-VN"/>
              </w:rPr>
              <w:t>hủ tịch Ủy ban nhân dân tỉnh Nguyễn Ngọc Sâm về xử lý các khó khăn, vướng mắc trong quá trình triển khai các dự án đầu tư năm 2023 trên địa bàn tỉnh có liên quan đến Quy hoạch 03 loại rừng</w:t>
            </w:r>
            <w:r w:rsidRPr="00A464E3">
              <w:rPr>
                <w:lang w:val="nl-NL"/>
              </w:rPr>
              <w:t>.</w:t>
            </w:r>
          </w:p>
        </w:tc>
        <w:tc>
          <w:tcPr>
            <w:tcW w:w="1184" w:type="pct"/>
            <w:tcBorders>
              <w:top w:val="single" w:sz="4" w:space="0" w:color="auto"/>
              <w:left w:val="nil"/>
              <w:bottom w:val="single" w:sz="4" w:space="0" w:color="auto"/>
              <w:right w:val="single" w:sz="4" w:space="0" w:color="auto"/>
            </w:tcBorders>
            <w:shd w:val="clear" w:color="auto" w:fill="auto"/>
            <w:vAlign w:val="center"/>
          </w:tcPr>
          <w:p w14:paraId="17A25134" w14:textId="77777777" w:rsidR="009B04ED" w:rsidRPr="00A464E3" w:rsidRDefault="009B04ED" w:rsidP="00703A0D">
            <w:pPr>
              <w:spacing w:before="120" w:after="120"/>
              <w:jc w:val="both"/>
              <w:rPr>
                <w:spacing w:val="-4"/>
                <w:lang w:val="nl-NL"/>
              </w:rPr>
            </w:pPr>
            <w:r w:rsidRPr="00A464E3">
              <w:rPr>
                <w:spacing w:val="-4"/>
                <w:lang w:val="nl-NL"/>
              </w:rPr>
              <w:t>Tiếp thu ý kiến của Sở Nông nghiệp và Phát triển nông thôn</w:t>
            </w:r>
          </w:p>
          <w:p w14:paraId="4911EA9E" w14:textId="77777777" w:rsidR="009B04ED" w:rsidRPr="00A464E3" w:rsidRDefault="009B04ED" w:rsidP="00703A0D">
            <w:pPr>
              <w:spacing w:before="120" w:after="120"/>
              <w:jc w:val="both"/>
              <w:rPr>
                <w:spacing w:val="-4"/>
                <w:lang w:val="nl-NL"/>
              </w:rPr>
            </w:pPr>
            <w:r w:rsidRPr="00A464E3">
              <w:rPr>
                <w:spacing w:val="-4"/>
                <w:lang w:val="nl-NL"/>
              </w:rPr>
              <w:t>Khu vực các điểm khoáng sản điều chỉnh, bổ sung trong đợt này không nằm trong khu vực cấm, tạm thời cấm hoạt động khoáng sản thuộc đất rừng đặc dụng, rừng phòng hộ và rừng tự nhiên</w:t>
            </w:r>
          </w:p>
          <w:p w14:paraId="4F62881D" w14:textId="77777777" w:rsidR="009B04ED" w:rsidRPr="00A464E3" w:rsidRDefault="009B04ED" w:rsidP="00703A0D">
            <w:pPr>
              <w:spacing w:before="120" w:after="120"/>
              <w:jc w:val="both"/>
              <w:rPr>
                <w:spacing w:val="-4"/>
                <w:lang w:val="nl-NL"/>
              </w:rPr>
            </w:pPr>
            <w:r w:rsidRPr="00A464E3">
              <w:rPr>
                <w:lang w:val="nl-NL"/>
              </w:rPr>
              <w:t>Trước khi thực hiện đấu giá quyền khai thác khoáng sản tại các khu vực Hội đồng nhân dân tỉnh điều chỉnh, bổ sung vào quy hoạch thăm dò, khai thác, sử dụng khoáng sản tỉnh Kon Tum đến năm 2020, tầm nhìn đến năm 2030 cần phải có các ban ngành liên quan của tỉnh kiểm tra thực tế.</w:t>
            </w:r>
          </w:p>
          <w:p w14:paraId="7D265C4D" w14:textId="1829D378" w:rsidR="009B04ED" w:rsidRPr="00A464E3" w:rsidRDefault="009B04ED" w:rsidP="00703A0D">
            <w:pPr>
              <w:spacing w:before="120"/>
              <w:jc w:val="both"/>
              <w:rPr>
                <w:lang w:val="nl-NL"/>
              </w:rPr>
            </w:pPr>
          </w:p>
        </w:tc>
      </w:tr>
      <w:tr w:rsidR="00BD0F37" w:rsidRPr="00A464E3" w14:paraId="112A0B8F" w14:textId="77777777" w:rsidTr="00A464E3">
        <w:trPr>
          <w:trHeight w:val="259"/>
        </w:trPr>
        <w:tc>
          <w:tcPr>
            <w:tcW w:w="173" w:type="pct"/>
            <w:vMerge w:val="restart"/>
            <w:tcBorders>
              <w:top w:val="single" w:sz="4" w:space="0" w:color="auto"/>
              <w:left w:val="single" w:sz="4" w:space="0" w:color="auto"/>
              <w:right w:val="single" w:sz="4" w:space="0" w:color="auto"/>
            </w:tcBorders>
            <w:shd w:val="clear" w:color="auto" w:fill="auto"/>
            <w:vAlign w:val="center"/>
          </w:tcPr>
          <w:p w14:paraId="3A4BA5EA" w14:textId="150A1E68" w:rsidR="00BD0F37" w:rsidRPr="00A464E3" w:rsidRDefault="00BD0F37" w:rsidP="00703A0D">
            <w:pPr>
              <w:spacing w:before="120"/>
              <w:rPr>
                <w:lang w:val="nl-NL"/>
              </w:rPr>
            </w:pPr>
            <w:r w:rsidRPr="00A464E3">
              <w:rPr>
                <w:lang w:val="nl-NL"/>
              </w:rPr>
              <w:t xml:space="preserve">5 </w:t>
            </w:r>
          </w:p>
        </w:tc>
        <w:tc>
          <w:tcPr>
            <w:tcW w:w="387" w:type="pct"/>
            <w:vMerge w:val="restart"/>
            <w:tcBorders>
              <w:top w:val="single" w:sz="4" w:space="0" w:color="auto"/>
              <w:left w:val="nil"/>
              <w:right w:val="single" w:sz="4" w:space="0" w:color="auto"/>
            </w:tcBorders>
            <w:shd w:val="clear" w:color="auto" w:fill="auto"/>
            <w:vAlign w:val="center"/>
          </w:tcPr>
          <w:p w14:paraId="0328D22F" w14:textId="29CDEBBA" w:rsidR="00BD0F37" w:rsidRPr="00A464E3" w:rsidRDefault="00BD0F37" w:rsidP="00703A0D">
            <w:pPr>
              <w:spacing w:before="120"/>
              <w:rPr>
                <w:lang w:val="nl-NL"/>
              </w:rPr>
            </w:pPr>
            <w:r w:rsidRPr="00A464E3">
              <w:rPr>
                <w:lang w:val="nl-NL"/>
              </w:rPr>
              <w:t>Bộ Công thương</w:t>
            </w:r>
          </w:p>
        </w:tc>
        <w:tc>
          <w:tcPr>
            <w:tcW w:w="522" w:type="pct"/>
            <w:vMerge w:val="restart"/>
            <w:tcBorders>
              <w:top w:val="single" w:sz="4" w:space="0" w:color="auto"/>
              <w:left w:val="nil"/>
              <w:right w:val="single" w:sz="4" w:space="0" w:color="auto"/>
            </w:tcBorders>
            <w:shd w:val="clear" w:color="auto" w:fill="auto"/>
            <w:vAlign w:val="center"/>
          </w:tcPr>
          <w:p w14:paraId="50141630" w14:textId="20E245E3" w:rsidR="00BD0F37" w:rsidRPr="00A464E3" w:rsidRDefault="00BD0F37" w:rsidP="00703A0D">
            <w:pPr>
              <w:spacing w:before="120"/>
              <w:rPr>
                <w:lang w:val="nl-NL"/>
              </w:rPr>
            </w:pPr>
            <w:r w:rsidRPr="00A464E3">
              <w:rPr>
                <w:lang w:val="nl-NL"/>
              </w:rPr>
              <w:t>Văn bản số 615/BCT-CN ngày 10/02/2023</w:t>
            </w:r>
          </w:p>
        </w:tc>
        <w:tc>
          <w:tcPr>
            <w:tcW w:w="2734" w:type="pct"/>
            <w:tcBorders>
              <w:top w:val="single" w:sz="4" w:space="0" w:color="auto"/>
              <w:left w:val="nil"/>
              <w:bottom w:val="single" w:sz="4" w:space="0" w:color="auto"/>
              <w:right w:val="single" w:sz="4" w:space="0" w:color="auto"/>
            </w:tcBorders>
            <w:shd w:val="clear" w:color="000000" w:fill="FFFFFF"/>
            <w:vAlign w:val="center"/>
          </w:tcPr>
          <w:p w14:paraId="2DA4035C" w14:textId="31A1ED40" w:rsidR="00BD0F37" w:rsidRPr="00A464E3" w:rsidRDefault="00BD0F37" w:rsidP="00703A0D">
            <w:pPr>
              <w:autoSpaceDE w:val="0"/>
              <w:autoSpaceDN w:val="0"/>
              <w:adjustRightInd w:val="0"/>
              <w:spacing w:before="120" w:line="276" w:lineRule="auto"/>
              <w:jc w:val="both"/>
              <w:rPr>
                <w:lang w:val="nl-NL"/>
              </w:rPr>
            </w:pPr>
            <w:r w:rsidRPr="00A464E3">
              <w:rPr>
                <w:lang w:val="nl-NL"/>
              </w:rPr>
              <w:t xml:space="preserve">Bổ sung nghị quyết số 751/2019/UBTVQH14 ngày 16/8/2019 của Ủy ban Thường vụ Quốc hội </w:t>
            </w:r>
          </w:p>
        </w:tc>
        <w:tc>
          <w:tcPr>
            <w:tcW w:w="1184" w:type="pct"/>
            <w:tcBorders>
              <w:top w:val="single" w:sz="4" w:space="0" w:color="auto"/>
              <w:left w:val="nil"/>
              <w:bottom w:val="single" w:sz="4" w:space="0" w:color="auto"/>
              <w:right w:val="single" w:sz="4" w:space="0" w:color="auto"/>
            </w:tcBorders>
            <w:shd w:val="clear" w:color="auto" w:fill="auto"/>
            <w:vAlign w:val="center"/>
          </w:tcPr>
          <w:p w14:paraId="405627DA" w14:textId="77777777" w:rsidR="00BD0F37" w:rsidRPr="00A464E3" w:rsidRDefault="00BD0F37" w:rsidP="00703A0D">
            <w:pPr>
              <w:spacing w:before="120" w:after="120"/>
              <w:jc w:val="both"/>
              <w:rPr>
                <w:noProof/>
                <w:color w:val="000000"/>
                <w:lang w:val="nl-NL" w:eastAsia="vi-VN"/>
              </w:rPr>
            </w:pPr>
            <w:r w:rsidRPr="00A464E3">
              <w:rPr>
                <w:noProof/>
                <w:color w:val="000000"/>
                <w:lang w:val="nl-NL" w:eastAsia="vi-VN"/>
              </w:rPr>
              <w:t xml:space="preserve">Sở Xây dựng giải trình như sau: </w:t>
            </w:r>
          </w:p>
          <w:p w14:paraId="0821BBB0" w14:textId="71949428" w:rsidR="00BD0F37" w:rsidRPr="00A464E3" w:rsidRDefault="00BD0F37" w:rsidP="00703A0D">
            <w:pPr>
              <w:spacing w:before="120" w:after="120"/>
              <w:jc w:val="both"/>
              <w:rPr>
                <w:spacing w:val="-4"/>
                <w:lang w:val="nl-NL"/>
              </w:rPr>
            </w:pPr>
            <w:r w:rsidRPr="00A464E3">
              <w:rPr>
                <w:noProof/>
                <w:color w:val="000000"/>
                <w:lang w:val="nl-NL" w:eastAsia="vi-VN"/>
              </w:rPr>
              <w:t xml:space="preserve">Nghị quyết số 751/2019/UBTVQH14 ngày 16 tháng 8 năm 2019 của Ủy ban thường vụ Quốc hội về giải thích một số điều của Luật Quy hoạch </w:t>
            </w:r>
            <w:r w:rsidRPr="00A464E3">
              <w:rPr>
                <w:i/>
                <w:noProof/>
                <w:color w:val="000000"/>
                <w:lang w:val="nl-NL" w:eastAsia="vi-VN"/>
              </w:rPr>
              <w:t>(hiện đã hết hiệu lực</w:t>
            </w:r>
            <w:r w:rsidRPr="00A464E3">
              <w:rPr>
                <w:noProof/>
                <w:color w:val="000000"/>
                <w:lang w:val="nl-NL" w:eastAsia="vi-VN"/>
              </w:rPr>
              <w:t>) và được thay thé bằng Nghị quyết số 61/2022/QH15 ngày 16 tháng 6 năm 2022 của Quốc Hội</w:t>
            </w:r>
          </w:p>
        </w:tc>
      </w:tr>
      <w:tr w:rsidR="00BD0F37" w:rsidRPr="00A464E3" w14:paraId="02F42A6A" w14:textId="77777777" w:rsidTr="00A464E3">
        <w:trPr>
          <w:trHeight w:val="968"/>
        </w:trPr>
        <w:tc>
          <w:tcPr>
            <w:tcW w:w="173" w:type="pct"/>
            <w:vMerge/>
            <w:tcBorders>
              <w:left w:val="single" w:sz="4" w:space="0" w:color="auto"/>
              <w:bottom w:val="single" w:sz="4" w:space="0" w:color="auto"/>
              <w:right w:val="single" w:sz="4" w:space="0" w:color="auto"/>
            </w:tcBorders>
            <w:shd w:val="clear" w:color="auto" w:fill="auto"/>
            <w:vAlign w:val="center"/>
          </w:tcPr>
          <w:p w14:paraId="659BDD9A" w14:textId="77777777" w:rsidR="00BD0F37" w:rsidRPr="00A464E3" w:rsidRDefault="00BD0F37" w:rsidP="00703A0D">
            <w:pPr>
              <w:spacing w:before="120"/>
              <w:rPr>
                <w:lang w:val="nl-NL"/>
              </w:rPr>
            </w:pPr>
          </w:p>
        </w:tc>
        <w:tc>
          <w:tcPr>
            <w:tcW w:w="387" w:type="pct"/>
            <w:vMerge/>
            <w:tcBorders>
              <w:left w:val="nil"/>
              <w:bottom w:val="single" w:sz="4" w:space="0" w:color="auto"/>
              <w:right w:val="single" w:sz="4" w:space="0" w:color="auto"/>
            </w:tcBorders>
            <w:shd w:val="clear" w:color="auto" w:fill="auto"/>
            <w:vAlign w:val="center"/>
          </w:tcPr>
          <w:p w14:paraId="279153EF" w14:textId="77777777" w:rsidR="00BD0F37" w:rsidRPr="00A464E3" w:rsidRDefault="00BD0F37" w:rsidP="00703A0D">
            <w:pPr>
              <w:spacing w:before="120"/>
              <w:rPr>
                <w:lang w:val="nl-NL"/>
              </w:rPr>
            </w:pPr>
          </w:p>
        </w:tc>
        <w:tc>
          <w:tcPr>
            <w:tcW w:w="522" w:type="pct"/>
            <w:vMerge/>
            <w:tcBorders>
              <w:left w:val="nil"/>
              <w:bottom w:val="single" w:sz="4" w:space="0" w:color="auto"/>
              <w:right w:val="single" w:sz="4" w:space="0" w:color="auto"/>
            </w:tcBorders>
            <w:shd w:val="clear" w:color="auto" w:fill="auto"/>
            <w:vAlign w:val="center"/>
          </w:tcPr>
          <w:p w14:paraId="0D4DBC63" w14:textId="77777777" w:rsidR="00BD0F37" w:rsidRPr="00A464E3" w:rsidRDefault="00BD0F37" w:rsidP="00703A0D">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7A40DD28" w14:textId="06DBDD3A" w:rsidR="00BD0F37" w:rsidRPr="00A464E3" w:rsidRDefault="00BD0F37" w:rsidP="00703A0D">
            <w:pPr>
              <w:autoSpaceDE w:val="0"/>
              <w:autoSpaceDN w:val="0"/>
              <w:adjustRightInd w:val="0"/>
              <w:spacing w:before="120" w:line="276" w:lineRule="auto"/>
              <w:jc w:val="both"/>
              <w:rPr>
                <w:lang w:val="nl-NL"/>
              </w:rPr>
            </w:pPr>
            <w:r w:rsidRPr="00A464E3">
              <w:rPr>
                <w:lang w:val="nl-NL"/>
              </w:rPr>
              <w:t>Kết quả điều chỉnh quy hoạch thăm dò, khai thác, chế biến và sử dụng khoáng sản làm VLXDTT cần được cập nhật vào nội dung phương án bảo vệ khai thác, sử dụng tài nguyên thuộc quy hoạch tỉnh Kon Tum thời kỳ 2021-2030, tầm nhìn đến năm 2050</w:t>
            </w:r>
          </w:p>
        </w:tc>
        <w:tc>
          <w:tcPr>
            <w:tcW w:w="1184" w:type="pct"/>
            <w:tcBorders>
              <w:top w:val="single" w:sz="4" w:space="0" w:color="auto"/>
              <w:left w:val="nil"/>
              <w:bottom w:val="single" w:sz="4" w:space="0" w:color="auto"/>
              <w:right w:val="single" w:sz="4" w:space="0" w:color="auto"/>
            </w:tcBorders>
            <w:shd w:val="clear" w:color="auto" w:fill="auto"/>
            <w:vAlign w:val="center"/>
          </w:tcPr>
          <w:p w14:paraId="25713467" w14:textId="4E3F1DFF" w:rsidR="00BD0F37" w:rsidRPr="00A464E3" w:rsidRDefault="00BD0F37" w:rsidP="00703A0D">
            <w:pPr>
              <w:spacing w:before="120" w:after="120"/>
              <w:jc w:val="both"/>
              <w:rPr>
                <w:noProof/>
                <w:color w:val="000000"/>
                <w:lang w:val="nl-NL" w:eastAsia="vi-VN"/>
              </w:rPr>
            </w:pPr>
            <w:r w:rsidRPr="00A464E3">
              <w:rPr>
                <w:noProof/>
                <w:color w:val="000000"/>
                <w:lang w:val="nl-NL" w:eastAsia="vi-VN"/>
              </w:rPr>
              <w:t>Nội dung này đã được Sở Xây dựng gửi Sở Kế hoạch và Đầu tư để bổ sung vào</w:t>
            </w:r>
            <w:r w:rsidRPr="00A464E3">
              <w:rPr>
                <w:lang w:val="nl-NL"/>
              </w:rPr>
              <w:t xml:space="preserve"> phương án bảo vệ khai thác, sử dụng tài nguyên thuộc quy hoạch tỉnh Kon Tum thời kỳ 2021-2030, tầm nhìn đến năm 2050</w:t>
            </w:r>
            <w:r w:rsidRPr="00A464E3">
              <w:rPr>
                <w:noProof/>
                <w:color w:val="000000"/>
                <w:lang w:val="nl-NL" w:eastAsia="vi-VN"/>
              </w:rPr>
              <w:t xml:space="preserve"> </w:t>
            </w:r>
          </w:p>
        </w:tc>
      </w:tr>
      <w:tr w:rsidR="009B25D3" w:rsidRPr="00A464E3" w14:paraId="7301EAC6" w14:textId="77777777" w:rsidTr="00A464E3">
        <w:trPr>
          <w:trHeight w:val="968"/>
        </w:trPr>
        <w:tc>
          <w:tcPr>
            <w:tcW w:w="173" w:type="pct"/>
            <w:vMerge w:val="restart"/>
            <w:tcBorders>
              <w:top w:val="single" w:sz="4" w:space="0" w:color="auto"/>
              <w:left w:val="single" w:sz="4" w:space="0" w:color="auto"/>
              <w:right w:val="single" w:sz="4" w:space="0" w:color="auto"/>
            </w:tcBorders>
            <w:shd w:val="clear" w:color="auto" w:fill="auto"/>
            <w:vAlign w:val="center"/>
          </w:tcPr>
          <w:p w14:paraId="19AE3F01" w14:textId="3CDCCB0C" w:rsidR="009B25D3" w:rsidRPr="00A464E3" w:rsidRDefault="009B25D3" w:rsidP="00703A0D">
            <w:pPr>
              <w:spacing w:before="120"/>
              <w:rPr>
                <w:lang w:val="nl-NL"/>
              </w:rPr>
            </w:pPr>
            <w:r w:rsidRPr="00A464E3">
              <w:rPr>
                <w:lang w:val="nl-NL"/>
              </w:rPr>
              <w:t>6</w:t>
            </w:r>
          </w:p>
        </w:tc>
        <w:tc>
          <w:tcPr>
            <w:tcW w:w="387" w:type="pct"/>
            <w:vMerge w:val="restart"/>
            <w:tcBorders>
              <w:top w:val="single" w:sz="4" w:space="0" w:color="auto"/>
              <w:left w:val="nil"/>
              <w:right w:val="single" w:sz="4" w:space="0" w:color="auto"/>
            </w:tcBorders>
            <w:shd w:val="clear" w:color="auto" w:fill="auto"/>
            <w:vAlign w:val="center"/>
          </w:tcPr>
          <w:p w14:paraId="4CB3B918" w14:textId="6B77E526" w:rsidR="009B25D3" w:rsidRPr="00A464E3" w:rsidRDefault="009B25D3" w:rsidP="00703A0D">
            <w:pPr>
              <w:spacing w:before="120"/>
              <w:rPr>
                <w:bCs/>
                <w:lang w:val="nl-NL"/>
              </w:rPr>
            </w:pPr>
            <w:r w:rsidRPr="00A464E3">
              <w:rPr>
                <w:bCs/>
                <w:lang w:val="fr-FR"/>
              </w:rPr>
              <w:t>Bộ Tài nguyên và Môi trường</w:t>
            </w:r>
          </w:p>
        </w:tc>
        <w:tc>
          <w:tcPr>
            <w:tcW w:w="522" w:type="pct"/>
            <w:vMerge w:val="restart"/>
            <w:tcBorders>
              <w:top w:val="single" w:sz="4" w:space="0" w:color="auto"/>
              <w:left w:val="nil"/>
              <w:right w:val="single" w:sz="4" w:space="0" w:color="auto"/>
            </w:tcBorders>
            <w:shd w:val="clear" w:color="auto" w:fill="auto"/>
            <w:vAlign w:val="center"/>
          </w:tcPr>
          <w:p w14:paraId="25D09C3F" w14:textId="4BE2DFC6" w:rsidR="009B25D3" w:rsidRPr="00A464E3" w:rsidRDefault="009B25D3" w:rsidP="00703A0D">
            <w:pPr>
              <w:spacing w:before="120"/>
              <w:rPr>
                <w:lang w:val="nl-NL"/>
              </w:rPr>
            </w:pPr>
            <w:r w:rsidRPr="00A464E3">
              <w:rPr>
                <w:lang w:val="nl-NL"/>
              </w:rPr>
              <w:t>Văn bản số 1044/BTNMT-KSVN ngày 24/02/2023</w:t>
            </w:r>
          </w:p>
        </w:tc>
        <w:tc>
          <w:tcPr>
            <w:tcW w:w="2734" w:type="pct"/>
            <w:tcBorders>
              <w:top w:val="single" w:sz="4" w:space="0" w:color="auto"/>
              <w:left w:val="nil"/>
              <w:bottom w:val="single" w:sz="4" w:space="0" w:color="auto"/>
              <w:right w:val="single" w:sz="4" w:space="0" w:color="auto"/>
            </w:tcBorders>
            <w:shd w:val="clear" w:color="000000" w:fill="FFFFFF"/>
            <w:vAlign w:val="center"/>
          </w:tcPr>
          <w:p w14:paraId="4F06DE26" w14:textId="033EB7F1" w:rsidR="009B25D3" w:rsidRPr="00A464E3" w:rsidRDefault="009B25D3" w:rsidP="00703A0D">
            <w:pPr>
              <w:autoSpaceDE w:val="0"/>
              <w:autoSpaceDN w:val="0"/>
              <w:adjustRightInd w:val="0"/>
              <w:spacing w:before="120" w:line="276" w:lineRule="auto"/>
              <w:jc w:val="both"/>
              <w:rPr>
                <w:lang w:val="nl-NL"/>
              </w:rPr>
            </w:pPr>
            <w:r w:rsidRPr="00A464E3">
              <w:rPr>
                <w:lang w:val="fr-FR"/>
              </w:rPr>
              <w:t>- Đối với 15 điểm mỏ khoáng sản đề nghị điều chỉnh, bổ sung quy hoạch đã được khảo sát, điều tra bổ sung xác định tài nguyên (đất làm vật liệu san lấp là 7.737.110 m</w:t>
            </w:r>
            <w:r w:rsidRPr="00A464E3">
              <w:rPr>
                <w:vertAlign w:val="superscript"/>
                <w:lang w:val="fr-FR"/>
              </w:rPr>
              <w:t>3</w:t>
            </w:r>
            <w:r w:rsidRPr="00A464E3">
              <w:rPr>
                <w:lang w:val="fr-FR"/>
              </w:rPr>
              <w:t>, sét làm gạch ngói là 123.880 m</w:t>
            </w:r>
            <w:r w:rsidRPr="00A464E3">
              <w:rPr>
                <w:vertAlign w:val="superscript"/>
                <w:lang w:val="fr-FR"/>
              </w:rPr>
              <w:t>3</w:t>
            </w:r>
            <w:r w:rsidRPr="00A464E3">
              <w:rPr>
                <w:lang w:val="fr-FR"/>
              </w:rPr>
              <w:t>, cát xây dựng là 158.320 m</w:t>
            </w:r>
            <w:r w:rsidRPr="00A464E3">
              <w:rPr>
                <w:vertAlign w:val="superscript"/>
                <w:lang w:val="fr-FR"/>
              </w:rPr>
              <w:t>3</w:t>
            </w:r>
            <w:r w:rsidRPr="00A464E3">
              <w:rPr>
                <w:lang w:val="fr-FR"/>
              </w:rPr>
              <w:t>) làm cơ sở quy hoạch. Tuy nhiên, theo hồ sơ cho thấy, việc bổ sung quy hoạch chưa đánh giá chi tiết thực trạng cấp phép khai thác, sản lượng đã khai thác, mức độ tiêu thụ, trữ lượng (tài nguyên) khoáng sản đã quy hoạch. Ngoài ra, tổng tài nguyên các điểm mỏ đã được quy hoạch có thể đáp ứng cho nhu cầu của tỉnh trong giai đoạn hiện tại (đất san lấp là 24.878,20 ngàn m</w:t>
            </w:r>
            <w:r w:rsidRPr="00A464E3">
              <w:rPr>
                <w:vertAlign w:val="superscript"/>
                <w:lang w:val="fr-FR"/>
              </w:rPr>
              <w:t>3</w:t>
            </w:r>
            <w:r w:rsidRPr="00A464E3">
              <w:rPr>
                <w:lang w:val="fr-FR"/>
              </w:rPr>
              <w:t>; cát xây dựng là 28.325,028 ngàn m</w:t>
            </w:r>
            <w:r w:rsidRPr="00A464E3">
              <w:rPr>
                <w:vertAlign w:val="superscript"/>
                <w:lang w:val="fr-FR"/>
              </w:rPr>
              <w:t>3</w:t>
            </w:r>
            <w:r w:rsidRPr="00A464E3">
              <w:rPr>
                <w:lang w:val="fr-FR"/>
              </w:rPr>
              <w:t>; sét gạch ngói là 8.726,50 ngàn m</w:t>
            </w:r>
            <w:r w:rsidRPr="00A464E3">
              <w:rPr>
                <w:vertAlign w:val="superscript"/>
                <w:lang w:val="fr-FR"/>
              </w:rPr>
              <w:t>3</w:t>
            </w:r>
            <w:r w:rsidRPr="00A464E3">
              <w:rPr>
                <w:lang w:val="fr-FR"/>
              </w:rPr>
              <w:t>). Do đó, đề nghị Ủy ban nhân dân tỉnh cân nhắc việc điều chỉnh, bổ sung quy hoạch ở thời điểm hiện tại.</w:t>
            </w:r>
          </w:p>
        </w:tc>
        <w:tc>
          <w:tcPr>
            <w:tcW w:w="1184" w:type="pct"/>
            <w:tcBorders>
              <w:top w:val="single" w:sz="4" w:space="0" w:color="auto"/>
              <w:left w:val="nil"/>
              <w:bottom w:val="single" w:sz="4" w:space="0" w:color="auto"/>
              <w:right w:val="single" w:sz="4" w:space="0" w:color="auto"/>
            </w:tcBorders>
            <w:shd w:val="clear" w:color="auto" w:fill="auto"/>
            <w:vAlign w:val="center"/>
          </w:tcPr>
          <w:p w14:paraId="558BF765" w14:textId="75C78B7A" w:rsidR="00600549" w:rsidRPr="00A464E3" w:rsidRDefault="00600549" w:rsidP="00703A0D">
            <w:pPr>
              <w:spacing w:before="120" w:after="120"/>
              <w:jc w:val="both"/>
              <w:rPr>
                <w:lang w:val="fr-FR"/>
              </w:rPr>
            </w:pPr>
            <w:r w:rsidRPr="00A464E3">
              <w:rPr>
                <w:lang w:val="fr-FR"/>
              </w:rPr>
              <w:t xml:space="preserve">Tiếp thu ý kiến, Hồ sơ quy hoạch đã bổ sung đánh giá về thực trạng cấp phép khai thác khoáng sản. </w:t>
            </w:r>
          </w:p>
          <w:p w14:paraId="558539A9" w14:textId="4C3F3D0B" w:rsidR="009B25D3" w:rsidRPr="00A464E3" w:rsidRDefault="00600549" w:rsidP="00703A0D">
            <w:pPr>
              <w:spacing w:before="120" w:after="120"/>
              <w:jc w:val="both"/>
              <w:rPr>
                <w:lang w:val="fr-FR"/>
              </w:rPr>
            </w:pPr>
            <w:r w:rsidRPr="00A464E3">
              <w:rPr>
                <w:lang w:val="fr-FR"/>
              </w:rPr>
              <w:t>Hiện nay, trên địa bàn tỉnh phát sinh một số dự án, công trình cần sử dụng VLXDTT. Việc điều chỉnh quy hoạch nhằm mục đích bổ sung các mỏ khoáng sản gần các công trình nhằm giảm chi phí vận chuyển VLXDTT, để giảm tổng mức đầu tư các dự án. Mặc khác việc bổ sung các mỏ khoáng sản để dự phòng cho các công trình, dự án phát sinh sau này. Do vậy, việc điều chỉnh bổ sung quy hoạch khoáng sản tại thời điểm hiện tại là cần thiết.</w:t>
            </w:r>
          </w:p>
        </w:tc>
      </w:tr>
      <w:tr w:rsidR="009B25D3" w:rsidRPr="00A464E3" w14:paraId="1C19ED58" w14:textId="77777777" w:rsidTr="00A464E3">
        <w:trPr>
          <w:trHeight w:val="684"/>
        </w:trPr>
        <w:tc>
          <w:tcPr>
            <w:tcW w:w="173" w:type="pct"/>
            <w:vMerge/>
            <w:tcBorders>
              <w:left w:val="single" w:sz="4" w:space="0" w:color="auto"/>
              <w:bottom w:val="single" w:sz="4" w:space="0" w:color="auto"/>
              <w:right w:val="single" w:sz="4" w:space="0" w:color="auto"/>
            </w:tcBorders>
            <w:shd w:val="clear" w:color="auto" w:fill="auto"/>
            <w:vAlign w:val="center"/>
          </w:tcPr>
          <w:p w14:paraId="66651D03" w14:textId="77777777" w:rsidR="009B25D3" w:rsidRPr="00A464E3" w:rsidRDefault="009B25D3" w:rsidP="00703A0D">
            <w:pPr>
              <w:spacing w:before="120"/>
              <w:rPr>
                <w:lang w:val="nl-NL"/>
              </w:rPr>
            </w:pPr>
          </w:p>
        </w:tc>
        <w:tc>
          <w:tcPr>
            <w:tcW w:w="387" w:type="pct"/>
            <w:vMerge/>
            <w:tcBorders>
              <w:left w:val="nil"/>
              <w:bottom w:val="single" w:sz="4" w:space="0" w:color="auto"/>
              <w:right w:val="single" w:sz="4" w:space="0" w:color="auto"/>
            </w:tcBorders>
            <w:shd w:val="clear" w:color="auto" w:fill="auto"/>
            <w:vAlign w:val="center"/>
          </w:tcPr>
          <w:p w14:paraId="5016DFBE" w14:textId="77777777" w:rsidR="009B25D3" w:rsidRPr="00A464E3" w:rsidRDefault="009B25D3" w:rsidP="00703A0D">
            <w:pPr>
              <w:spacing w:before="120"/>
              <w:rPr>
                <w:lang w:val="nl-NL"/>
              </w:rPr>
            </w:pPr>
          </w:p>
        </w:tc>
        <w:tc>
          <w:tcPr>
            <w:tcW w:w="522" w:type="pct"/>
            <w:vMerge/>
            <w:tcBorders>
              <w:left w:val="nil"/>
              <w:bottom w:val="single" w:sz="4" w:space="0" w:color="auto"/>
              <w:right w:val="single" w:sz="4" w:space="0" w:color="auto"/>
            </w:tcBorders>
            <w:shd w:val="clear" w:color="auto" w:fill="auto"/>
            <w:vAlign w:val="center"/>
          </w:tcPr>
          <w:p w14:paraId="18926C32" w14:textId="77777777" w:rsidR="009B25D3" w:rsidRPr="00A464E3" w:rsidRDefault="009B25D3" w:rsidP="00703A0D">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444D6A6B" w14:textId="7A5E7309" w:rsidR="009B25D3" w:rsidRPr="00A464E3" w:rsidRDefault="009B25D3" w:rsidP="00703A0D">
            <w:pPr>
              <w:autoSpaceDE w:val="0"/>
              <w:autoSpaceDN w:val="0"/>
              <w:adjustRightInd w:val="0"/>
              <w:spacing w:before="120" w:line="276" w:lineRule="auto"/>
              <w:jc w:val="both"/>
              <w:rPr>
                <w:lang w:val="nl-NL"/>
              </w:rPr>
            </w:pPr>
            <w:r w:rsidRPr="00A464E3">
              <w:rPr>
                <w:lang w:val="fr-FR"/>
              </w:rPr>
              <w:t>- Qua rà soát các điểm mỏ bổ sung quy hoạch đều nằm trong khu vực đã được điều tra cơ bản địa chất và khoáng sản thuộc công tác lập bản đồ địa chất khoáng sản và đã được khảo sát, điều tra bổ sung xác định tài nguyên làm cơ sở quy hoạch. Tại các vị trí trên chưa phát hiện khoáng sản có giá trị cao hơn khoáng sản VLXDTT, do đó, trong quá trình thực hiện công tác thăm dò, đánh giá trữ lượng khoáng sản nếu phát hiện khoáng sản khác có giá trị cao hơn khoáng sản làm VLXDTT kịp thời báo cáo Bộ Tài nguyên và Môi trường để xem xét, giải quyết theo quy định</w:t>
            </w:r>
          </w:p>
        </w:tc>
        <w:tc>
          <w:tcPr>
            <w:tcW w:w="1184" w:type="pct"/>
            <w:tcBorders>
              <w:top w:val="single" w:sz="4" w:space="0" w:color="auto"/>
              <w:left w:val="nil"/>
              <w:bottom w:val="single" w:sz="4" w:space="0" w:color="auto"/>
              <w:right w:val="single" w:sz="4" w:space="0" w:color="auto"/>
            </w:tcBorders>
            <w:shd w:val="clear" w:color="auto" w:fill="auto"/>
            <w:vAlign w:val="center"/>
          </w:tcPr>
          <w:p w14:paraId="68F863CF" w14:textId="4E5AC88C" w:rsidR="009B25D3" w:rsidRPr="00A464E3" w:rsidRDefault="00540954" w:rsidP="00600549">
            <w:pPr>
              <w:spacing w:before="120" w:after="120"/>
              <w:jc w:val="both"/>
              <w:rPr>
                <w:noProof/>
                <w:color w:val="000000"/>
                <w:lang w:val="nl-NL" w:eastAsia="vi-VN"/>
              </w:rPr>
            </w:pPr>
            <w:r w:rsidRPr="00A464E3">
              <w:t>Tiếp thu,</w:t>
            </w:r>
            <w:r w:rsidRPr="00A464E3">
              <w:rPr>
                <w:spacing w:val="-4"/>
                <w:lang w:val="nl-NL"/>
              </w:rPr>
              <w:t xml:space="preserve"> </w:t>
            </w:r>
            <w:r w:rsidR="00600549" w:rsidRPr="00A464E3">
              <w:rPr>
                <w:lang w:val="fr-FR"/>
              </w:rPr>
              <w:t>trong quá trình thực hiện công tác thăm dò, đánh giá trữ lượng khoáng sản nếu phát hiện khoáng sản khác có giá trị cao hơn khoáng sản làm VLXDTT</w:t>
            </w:r>
            <w:r w:rsidR="00600549" w:rsidRPr="00A464E3">
              <w:rPr>
                <w:lang w:val="fr-FR"/>
              </w:rPr>
              <w:t>, UBND tỉnh sẽ</w:t>
            </w:r>
            <w:r w:rsidR="00600549" w:rsidRPr="00A464E3">
              <w:rPr>
                <w:lang w:val="fr-FR"/>
              </w:rPr>
              <w:t xml:space="preserve"> báo cáo Bộ Tài nguyên và Môi trường để xem xét, giải quyết theo quy định</w:t>
            </w:r>
          </w:p>
        </w:tc>
      </w:tr>
      <w:tr w:rsidR="009B25D3" w:rsidRPr="00A464E3" w14:paraId="4D4DF35D" w14:textId="77777777" w:rsidTr="00A464E3">
        <w:trPr>
          <w:trHeight w:val="968"/>
        </w:trPr>
        <w:tc>
          <w:tcPr>
            <w:tcW w:w="173" w:type="pct"/>
            <w:vMerge w:val="restart"/>
            <w:tcBorders>
              <w:top w:val="single" w:sz="4" w:space="0" w:color="auto"/>
              <w:left w:val="single" w:sz="4" w:space="0" w:color="auto"/>
              <w:right w:val="single" w:sz="4" w:space="0" w:color="auto"/>
            </w:tcBorders>
            <w:shd w:val="clear" w:color="auto" w:fill="auto"/>
            <w:vAlign w:val="center"/>
          </w:tcPr>
          <w:p w14:paraId="362FAC5A" w14:textId="7D666D96" w:rsidR="009B25D3" w:rsidRPr="00A464E3" w:rsidRDefault="009B25D3" w:rsidP="009B25D3">
            <w:pPr>
              <w:spacing w:before="120"/>
              <w:rPr>
                <w:lang w:val="nl-NL"/>
              </w:rPr>
            </w:pPr>
            <w:r w:rsidRPr="00A464E3">
              <w:rPr>
                <w:lang w:val="nl-NL"/>
              </w:rPr>
              <w:lastRenderedPageBreak/>
              <w:t>7</w:t>
            </w:r>
          </w:p>
        </w:tc>
        <w:tc>
          <w:tcPr>
            <w:tcW w:w="387" w:type="pct"/>
            <w:vMerge w:val="restart"/>
            <w:tcBorders>
              <w:top w:val="single" w:sz="4" w:space="0" w:color="auto"/>
              <w:left w:val="nil"/>
              <w:right w:val="single" w:sz="4" w:space="0" w:color="auto"/>
            </w:tcBorders>
            <w:shd w:val="clear" w:color="auto" w:fill="auto"/>
            <w:vAlign w:val="center"/>
          </w:tcPr>
          <w:p w14:paraId="5DF3DC80" w14:textId="5CE0B7CE" w:rsidR="009B25D3" w:rsidRPr="00A464E3" w:rsidRDefault="009B25D3" w:rsidP="009B25D3">
            <w:pPr>
              <w:spacing w:before="120"/>
              <w:rPr>
                <w:bCs/>
                <w:lang w:val="nl-NL"/>
              </w:rPr>
            </w:pPr>
            <w:r w:rsidRPr="00A464E3">
              <w:rPr>
                <w:bCs/>
                <w:lang w:val="fr-FR"/>
              </w:rPr>
              <w:t>Bộ Xây dựng</w:t>
            </w:r>
          </w:p>
        </w:tc>
        <w:tc>
          <w:tcPr>
            <w:tcW w:w="522" w:type="pct"/>
            <w:vMerge w:val="restart"/>
            <w:tcBorders>
              <w:top w:val="single" w:sz="4" w:space="0" w:color="auto"/>
              <w:left w:val="nil"/>
              <w:right w:val="single" w:sz="4" w:space="0" w:color="auto"/>
            </w:tcBorders>
            <w:shd w:val="clear" w:color="auto" w:fill="auto"/>
            <w:vAlign w:val="center"/>
          </w:tcPr>
          <w:p w14:paraId="6F5EF23D" w14:textId="16D2A4E7" w:rsidR="009B25D3" w:rsidRPr="00A464E3" w:rsidRDefault="009B25D3" w:rsidP="009B25D3">
            <w:pPr>
              <w:spacing w:before="120"/>
              <w:rPr>
                <w:lang w:val="nl-NL"/>
              </w:rPr>
            </w:pPr>
            <w:r w:rsidRPr="00A464E3">
              <w:rPr>
                <w:lang w:val="nl-NL"/>
              </w:rPr>
              <w:t>Văn bản số 897/BXD-VLXD ngày 13/3/2023</w:t>
            </w:r>
          </w:p>
        </w:tc>
        <w:tc>
          <w:tcPr>
            <w:tcW w:w="2734" w:type="pct"/>
            <w:tcBorders>
              <w:top w:val="single" w:sz="4" w:space="0" w:color="auto"/>
              <w:left w:val="nil"/>
              <w:bottom w:val="single" w:sz="4" w:space="0" w:color="auto"/>
              <w:right w:val="single" w:sz="4" w:space="0" w:color="auto"/>
            </w:tcBorders>
            <w:shd w:val="clear" w:color="000000" w:fill="FFFFFF"/>
            <w:vAlign w:val="center"/>
          </w:tcPr>
          <w:p w14:paraId="288002E6" w14:textId="7A44827C" w:rsidR="009B25D3" w:rsidRPr="00A464E3" w:rsidRDefault="009B25D3" w:rsidP="009B25D3">
            <w:pPr>
              <w:autoSpaceDE w:val="0"/>
              <w:autoSpaceDN w:val="0"/>
              <w:adjustRightInd w:val="0"/>
              <w:spacing w:before="120" w:line="276" w:lineRule="auto"/>
              <w:jc w:val="both"/>
              <w:rPr>
                <w:lang w:val="fr-FR"/>
              </w:rPr>
            </w:pPr>
            <w:r w:rsidRPr="00A464E3">
              <w:rPr>
                <w:lang w:val="nl-NL"/>
              </w:rPr>
              <w:t xml:space="preserve">- </w:t>
            </w:r>
            <w:r w:rsidRPr="00A464E3">
              <w:rPr>
                <w:spacing w:val="-4"/>
              </w:rPr>
              <w:t xml:space="preserve">Việc điều chỉnh, </w:t>
            </w:r>
            <w:r w:rsidRPr="00A464E3">
              <w:t xml:space="preserve">bổ sung các khu vực khoáng sản (đất san lấp, cát xây dựng, sét gạch ngói) vào Quy hoạch thăm dò, khai thác và sử dụng khoáng sản làm vật liệu xây dựng thông thường trên địa bàn tỉnh Kon Tum phải đảm bảo tuân thủ theo quy định tại điểm b khoản 1 Điều 14 của Luật Khoáng sản, điểm c khoản 1 Điều 59 của Luật Quy hoạch, </w:t>
            </w:r>
            <w:r w:rsidRPr="00A464E3">
              <w:rPr>
                <w:lang w:val="sv-SE"/>
              </w:rPr>
              <w:t>khoản 2 Điều 1 Nghị quyết số 751/2019/UBTVQH14 ngày 16/8/2019 của Ủy ban Thường vụ Quốc hội về Giải thích một số điều của Luật Quy hoạch và</w:t>
            </w:r>
            <w:r w:rsidRPr="00A464E3">
              <w:t xml:space="preserve"> mục 47 và 48 Phụ lục kèm theo Nghị quyết số 110/NQ-CP n</w:t>
            </w:r>
            <w:r w:rsidRPr="00A464E3">
              <w:rPr>
                <w:lang w:val="sv-SE"/>
              </w:rPr>
              <w:t xml:space="preserve">gày 02/12/2019 của </w:t>
            </w:r>
            <w:r w:rsidRPr="00A464E3">
              <w:t xml:space="preserve">Chính phủ. Quy hoạch khoáng sản nêu trên sẽ được tích hợp vào Quy hoạch tỉnh Kon Tum thời kỳ 2021-2030 tầm nhìn đến năm 2050 ở dạng: </w:t>
            </w:r>
            <w:r w:rsidRPr="00A464E3">
              <w:rPr>
                <w:i/>
              </w:rPr>
              <w:t>“Phương án bảo vệ môi trường, khai thác, sử dụng, bảo vệ tài nguyên, đa dạng sinh học, phòng, chống thiên tai và ứng phó với biến đổi khí hậu trên địa bàn”</w:t>
            </w:r>
            <w:r w:rsidRPr="00A464E3">
              <w:t xml:space="preserve"> theo điểm n khoản 2 Điều 27 của Luật Quy hoạch</w:t>
            </w:r>
          </w:p>
        </w:tc>
        <w:tc>
          <w:tcPr>
            <w:tcW w:w="1184" w:type="pct"/>
            <w:tcBorders>
              <w:top w:val="single" w:sz="4" w:space="0" w:color="auto"/>
              <w:left w:val="nil"/>
              <w:bottom w:val="single" w:sz="4" w:space="0" w:color="auto"/>
              <w:right w:val="single" w:sz="4" w:space="0" w:color="auto"/>
            </w:tcBorders>
            <w:shd w:val="clear" w:color="auto" w:fill="auto"/>
            <w:vAlign w:val="center"/>
          </w:tcPr>
          <w:p w14:paraId="51FC0B65" w14:textId="6A62EF74" w:rsidR="009B25D3" w:rsidRPr="00A464E3" w:rsidRDefault="009B25D3" w:rsidP="009B25D3">
            <w:pPr>
              <w:spacing w:before="120" w:after="120"/>
              <w:jc w:val="both"/>
              <w:rPr>
                <w:noProof/>
                <w:color w:val="000000"/>
                <w:lang w:val="nl-NL" w:eastAsia="vi-VN"/>
              </w:rPr>
            </w:pPr>
            <w:r w:rsidRPr="00A464E3">
              <w:t xml:space="preserve">Tiếp thu, </w:t>
            </w:r>
            <w:r w:rsidR="00540954" w:rsidRPr="00A464E3">
              <w:t>n</w:t>
            </w:r>
            <w:r w:rsidRPr="00A464E3">
              <w:rPr>
                <w:noProof/>
                <w:color w:val="000000"/>
                <w:lang w:val="nl-NL" w:eastAsia="vi-VN"/>
              </w:rPr>
              <w:t>ội dung này đã được Sở Xây dựng gửi Sở Kế hoạch và Đầu tư để bổ sung vào</w:t>
            </w:r>
            <w:r w:rsidRPr="00A464E3">
              <w:rPr>
                <w:lang w:val="nl-NL"/>
              </w:rPr>
              <w:t xml:space="preserve"> phương án bảo vệ khai thác, sử dụng tài nguyên thuộc quy hoạch tỉnh Kon Tum thời kỳ 2021-2030, tầm nhìn đến năm 2050</w:t>
            </w:r>
          </w:p>
        </w:tc>
      </w:tr>
      <w:tr w:rsidR="009B25D3" w:rsidRPr="00A464E3" w14:paraId="36635BD7" w14:textId="77777777" w:rsidTr="00A464E3">
        <w:trPr>
          <w:trHeight w:val="968"/>
        </w:trPr>
        <w:tc>
          <w:tcPr>
            <w:tcW w:w="173" w:type="pct"/>
            <w:vMerge/>
            <w:tcBorders>
              <w:left w:val="single" w:sz="4" w:space="0" w:color="auto"/>
              <w:right w:val="single" w:sz="4" w:space="0" w:color="auto"/>
            </w:tcBorders>
            <w:shd w:val="clear" w:color="auto" w:fill="auto"/>
            <w:vAlign w:val="center"/>
          </w:tcPr>
          <w:p w14:paraId="72B7BA75" w14:textId="77777777" w:rsidR="009B25D3" w:rsidRPr="00A464E3" w:rsidRDefault="009B25D3" w:rsidP="009B25D3">
            <w:pPr>
              <w:spacing w:before="120"/>
              <w:rPr>
                <w:lang w:val="nl-NL"/>
              </w:rPr>
            </w:pPr>
          </w:p>
        </w:tc>
        <w:tc>
          <w:tcPr>
            <w:tcW w:w="387" w:type="pct"/>
            <w:vMerge/>
            <w:tcBorders>
              <w:left w:val="nil"/>
              <w:right w:val="single" w:sz="4" w:space="0" w:color="auto"/>
            </w:tcBorders>
            <w:shd w:val="clear" w:color="auto" w:fill="auto"/>
            <w:vAlign w:val="center"/>
          </w:tcPr>
          <w:p w14:paraId="0D791577" w14:textId="77777777" w:rsidR="009B25D3" w:rsidRPr="00A464E3" w:rsidRDefault="009B25D3" w:rsidP="009B25D3">
            <w:pPr>
              <w:spacing w:before="120"/>
              <w:rPr>
                <w:lang w:val="nl-NL"/>
              </w:rPr>
            </w:pPr>
          </w:p>
        </w:tc>
        <w:tc>
          <w:tcPr>
            <w:tcW w:w="522" w:type="pct"/>
            <w:vMerge/>
            <w:tcBorders>
              <w:left w:val="nil"/>
              <w:right w:val="single" w:sz="4" w:space="0" w:color="auto"/>
            </w:tcBorders>
            <w:shd w:val="clear" w:color="auto" w:fill="auto"/>
            <w:vAlign w:val="center"/>
          </w:tcPr>
          <w:p w14:paraId="79392C8D" w14:textId="77777777" w:rsidR="009B25D3" w:rsidRPr="00A464E3" w:rsidRDefault="009B25D3" w:rsidP="009B25D3">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216F1183" w14:textId="4A927053" w:rsidR="009B25D3" w:rsidRPr="00A464E3" w:rsidRDefault="009B25D3" w:rsidP="009B25D3">
            <w:pPr>
              <w:autoSpaceDE w:val="0"/>
              <w:autoSpaceDN w:val="0"/>
              <w:adjustRightInd w:val="0"/>
              <w:spacing w:before="120" w:line="276" w:lineRule="auto"/>
              <w:jc w:val="both"/>
              <w:rPr>
                <w:lang w:val="fr-FR"/>
              </w:rPr>
            </w:pPr>
            <w:r w:rsidRPr="00A464E3">
              <w:rPr>
                <w:lang w:val="nl-NL"/>
              </w:rPr>
              <w:t xml:space="preserve">- </w:t>
            </w:r>
            <w:r w:rsidRPr="00A464E3">
              <w:t>Các khu vực khoáng sản làm vật liệu xây dựng thông thường đề nghị điều chỉnh, bổ sung vào Quy hoạch phải đảm bảo không thuộc khu vực cấm, tạm thời cấm hoạt động khoáng sản; không quy hoạch để cấp phép đá làm vật liệu xây dựng ở chân sườn đồi, núi dọc theo hai bên đường quốc lộ để bảo vệ cảnh quan theo nội dung Quyết định số 2427/QĐ-TTg ngày 22/12/2011 của Thủ tướng Chính phủ; việc quy hoạch thăm dò, khai thác cát, sỏi lòng sông phải căn cứ theo Nghị định số 23/2020/NĐ-CP ngày 24/02/2020 của Chính phủ quy định về quản lý cát, sỏi lòng sông và bảo vệ lòng, bờ, bãi sông</w:t>
            </w:r>
            <w:r w:rsidRPr="00A464E3">
              <w:rPr>
                <w:lang w:val="nl-NL"/>
              </w:rPr>
              <w:t>.</w:t>
            </w:r>
          </w:p>
        </w:tc>
        <w:tc>
          <w:tcPr>
            <w:tcW w:w="1184" w:type="pct"/>
            <w:tcBorders>
              <w:top w:val="single" w:sz="4" w:space="0" w:color="auto"/>
              <w:left w:val="nil"/>
              <w:bottom w:val="single" w:sz="4" w:space="0" w:color="auto"/>
              <w:right w:val="single" w:sz="4" w:space="0" w:color="auto"/>
            </w:tcBorders>
            <w:shd w:val="clear" w:color="auto" w:fill="auto"/>
            <w:vAlign w:val="center"/>
          </w:tcPr>
          <w:p w14:paraId="0BCC7B0E" w14:textId="77777777" w:rsidR="009B25D3" w:rsidRPr="00A464E3" w:rsidRDefault="009B25D3" w:rsidP="009B25D3">
            <w:pPr>
              <w:spacing w:before="120" w:after="120"/>
              <w:jc w:val="both"/>
              <w:rPr>
                <w:spacing w:val="-4"/>
              </w:rPr>
            </w:pPr>
            <w:r w:rsidRPr="00A464E3">
              <w:t xml:space="preserve">Tiếp thu, đã rà soát các khu vực đề nghị điều chỉnh, bổ sung không thuộc khu vực cấm, tạm thời cấm hoạt động khoáng sản; </w:t>
            </w:r>
            <w:r w:rsidRPr="00A464E3">
              <w:rPr>
                <w:spacing w:val="-4"/>
              </w:rPr>
              <w:t>Điều chỉnh, bổ sung quy hoạch đợt này bao gồm đất san lấp, cát xây dựng và sét gạch ngói, không có đá xây dựng</w:t>
            </w:r>
          </w:p>
          <w:p w14:paraId="3CFFA4D5" w14:textId="26243634" w:rsidR="00600549" w:rsidRPr="00A464E3" w:rsidRDefault="00600549" w:rsidP="00600549">
            <w:pPr>
              <w:spacing w:before="120" w:after="120"/>
              <w:jc w:val="both"/>
              <w:rPr>
                <w:noProof/>
                <w:color w:val="000000"/>
                <w:lang w:val="nl-NL" w:eastAsia="vi-VN"/>
              </w:rPr>
            </w:pPr>
            <w:r w:rsidRPr="00A464E3">
              <w:rPr>
                <w:spacing w:val="-4"/>
              </w:rPr>
              <w:t xml:space="preserve">Việc quy hoạch </w:t>
            </w:r>
            <w:r w:rsidRPr="00A464E3">
              <w:t>cát</w:t>
            </w:r>
            <w:r w:rsidRPr="00A464E3">
              <w:t xml:space="preserve"> lòng sông </w:t>
            </w:r>
            <w:r w:rsidRPr="00A464E3">
              <w:t>đã</w:t>
            </w:r>
            <w:r w:rsidRPr="00A464E3">
              <w:t xml:space="preserve"> căn cứ theo Nghị định số 23/2020/NĐ-CP ngày 24/02/2020 của Chính phủ quy định về quản lý cát, sỏi lòng sông và bảo vệ lòng, bờ, bãi sông</w:t>
            </w:r>
            <w:r w:rsidRPr="00A464E3">
              <w:t xml:space="preserve"> và các quy định khác có liên quan.</w:t>
            </w:r>
          </w:p>
        </w:tc>
      </w:tr>
      <w:tr w:rsidR="009B25D3" w:rsidRPr="00A464E3" w14:paraId="2D325B9B" w14:textId="77777777" w:rsidTr="00A464E3">
        <w:trPr>
          <w:trHeight w:val="543"/>
        </w:trPr>
        <w:tc>
          <w:tcPr>
            <w:tcW w:w="173" w:type="pct"/>
            <w:vMerge/>
            <w:tcBorders>
              <w:left w:val="single" w:sz="4" w:space="0" w:color="auto"/>
              <w:bottom w:val="single" w:sz="4" w:space="0" w:color="auto"/>
              <w:right w:val="single" w:sz="4" w:space="0" w:color="auto"/>
            </w:tcBorders>
            <w:shd w:val="clear" w:color="auto" w:fill="auto"/>
            <w:vAlign w:val="center"/>
          </w:tcPr>
          <w:p w14:paraId="3B316296" w14:textId="77777777" w:rsidR="009B25D3" w:rsidRPr="00A464E3" w:rsidRDefault="009B25D3" w:rsidP="009B25D3">
            <w:pPr>
              <w:spacing w:before="120"/>
              <w:rPr>
                <w:lang w:val="nl-NL"/>
              </w:rPr>
            </w:pPr>
          </w:p>
        </w:tc>
        <w:tc>
          <w:tcPr>
            <w:tcW w:w="387" w:type="pct"/>
            <w:vMerge/>
            <w:tcBorders>
              <w:left w:val="nil"/>
              <w:bottom w:val="single" w:sz="4" w:space="0" w:color="auto"/>
              <w:right w:val="single" w:sz="4" w:space="0" w:color="auto"/>
            </w:tcBorders>
            <w:shd w:val="clear" w:color="auto" w:fill="auto"/>
            <w:vAlign w:val="center"/>
          </w:tcPr>
          <w:p w14:paraId="709FED18" w14:textId="77777777" w:rsidR="009B25D3" w:rsidRPr="00A464E3" w:rsidRDefault="009B25D3" w:rsidP="009B25D3">
            <w:pPr>
              <w:spacing w:before="120"/>
              <w:rPr>
                <w:lang w:val="nl-NL"/>
              </w:rPr>
            </w:pPr>
          </w:p>
        </w:tc>
        <w:tc>
          <w:tcPr>
            <w:tcW w:w="522" w:type="pct"/>
            <w:vMerge/>
            <w:tcBorders>
              <w:left w:val="nil"/>
              <w:bottom w:val="single" w:sz="4" w:space="0" w:color="auto"/>
              <w:right w:val="single" w:sz="4" w:space="0" w:color="auto"/>
            </w:tcBorders>
            <w:shd w:val="clear" w:color="auto" w:fill="auto"/>
            <w:vAlign w:val="center"/>
          </w:tcPr>
          <w:p w14:paraId="425796B9" w14:textId="77777777" w:rsidR="009B25D3" w:rsidRPr="00A464E3" w:rsidRDefault="009B25D3" w:rsidP="009B25D3">
            <w:pPr>
              <w:spacing w:before="120"/>
              <w:rPr>
                <w:lang w:val="nl-NL"/>
              </w:rPr>
            </w:pPr>
          </w:p>
        </w:tc>
        <w:tc>
          <w:tcPr>
            <w:tcW w:w="2734" w:type="pct"/>
            <w:tcBorders>
              <w:top w:val="single" w:sz="4" w:space="0" w:color="auto"/>
              <w:left w:val="nil"/>
              <w:bottom w:val="single" w:sz="4" w:space="0" w:color="auto"/>
              <w:right w:val="single" w:sz="4" w:space="0" w:color="auto"/>
            </w:tcBorders>
            <w:shd w:val="clear" w:color="000000" w:fill="FFFFFF"/>
            <w:vAlign w:val="center"/>
          </w:tcPr>
          <w:p w14:paraId="353E0B5A" w14:textId="6022B04C" w:rsidR="009B25D3" w:rsidRPr="00A464E3" w:rsidRDefault="009B25D3" w:rsidP="009B25D3">
            <w:pPr>
              <w:autoSpaceDE w:val="0"/>
              <w:autoSpaceDN w:val="0"/>
              <w:adjustRightInd w:val="0"/>
              <w:spacing w:before="120" w:line="276" w:lineRule="auto"/>
              <w:jc w:val="both"/>
              <w:rPr>
                <w:lang w:val="nl-NL"/>
              </w:rPr>
            </w:pPr>
            <w:r w:rsidRPr="00A464E3">
              <w:rPr>
                <w:lang w:val="nl-NL"/>
              </w:rPr>
              <w:t xml:space="preserve">- </w:t>
            </w:r>
            <w:r w:rsidRPr="00A464E3">
              <w:rPr>
                <w:lang w:val="sv-SE"/>
              </w:rPr>
              <w:t xml:space="preserve">Quá trình điều chỉnh, bổ sung quy hoạch cần đánh giá kết quả thực hiện quy hoạch kỳ trước; </w:t>
            </w:r>
            <w:r w:rsidRPr="00A464E3">
              <w:rPr>
                <w:color w:val="000000"/>
                <w:lang w:val="de-DE"/>
              </w:rPr>
              <w:t xml:space="preserve">phân tích số liệu cụ thể về hiện trạng tài nguyên, trữ lượng </w:t>
            </w:r>
            <w:r w:rsidRPr="00A464E3">
              <w:rPr>
                <w:lang w:val="de-DE"/>
              </w:rPr>
              <w:t>để tính toán cung – cầu làm cơ sở căn cứ cấp phép theo quy hoạch</w:t>
            </w:r>
            <w:r w:rsidRPr="00A464E3">
              <w:rPr>
                <w:color w:val="000000"/>
                <w:lang w:val="de-DE"/>
              </w:rPr>
              <w:t>. S</w:t>
            </w:r>
            <w:r w:rsidRPr="00A464E3">
              <w:rPr>
                <w:lang w:val="de-DE"/>
              </w:rPr>
              <w:t xml:space="preserve">ắp xếp lại các cơ sở có quy mô nhỏ lẻ, manh mún, gây tác động xấu tới môi trường; khuyến khích các doanh nghiệp đầu tư </w:t>
            </w:r>
            <w:r w:rsidRPr="00A464E3">
              <w:rPr>
                <w:color w:val="000000"/>
                <w:lang w:val="de-DE"/>
              </w:rPr>
              <w:t>sản xuất cát nghiền từ đá thay thế cát tự nhiên</w:t>
            </w:r>
          </w:p>
        </w:tc>
        <w:tc>
          <w:tcPr>
            <w:tcW w:w="1184" w:type="pct"/>
            <w:tcBorders>
              <w:top w:val="single" w:sz="4" w:space="0" w:color="auto"/>
              <w:left w:val="nil"/>
              <w:bottom w:val="single" w:sz="4" w:space="0" w:color="auto"/>
              <w:right w:val="single" w:sz="4" w:space="0" w:color="auto"/>
            </w:tcBorders>
            <w:shd w:val="clear" w:color="auto" w:fill="auto"/>
            <w:vAlign w:val="center"/>
          </w:tcPr>
          <w:p w14:paraId="284654DD" w14:textId="243C7BA6" w:rsidR="009B25D3" w:rsidRPr="00A464E3" w:rsidRDefault="009B25D3" w:rsidP="009B25D3">
            <w:pPr>
              <w:spacing w:before="120" w:after="120"/>
              <w:jc w:val="both"/>
              <w:rPr>
                <w:noProof/>
                <w:color w:val="000000"/>
                <w:lang w:val="nl-NL" w:eastAsia="vi-VN"/>
              </w:rPr>
            </w:pPr>
            <w:r w:rsidRPr="00A464E3">
              <w:t>Tiếp thu, đã bổ sung kết quả thực hiện quy hoạch kỳ trước</w:t>
            </w:r>
            <w:r w:rsidR="00AF3799" w:rsidRPr="00A464E3">
              <w:t xml:space="preserve"> vào hồ sơ quy hoạch</w:t>
            </w:r>
          </w:p>
        </w:tc>
      </w:tr>
    </w:tbl>
    <w:p w14:paraId="474393A8" w14:textId="77777777" w:rsidR="008D6C36" w:rsidRPr="00A464E3" w:rsidRDefault="008D6C36" w:rsidP="00A464E3">
      <w:pPr>
        <w:spacing w:before="120" w:after="120"/>
        <w:jc w:val="both"/>
        <w:rPr>
          <w:b/>
          <w:sz w:val="2"/>
          <w:szCs w:val="2"/>
        </w:rPr>
      </w:pPr>
    </w:p>
    <w:sectPr w:rsidR="008D6C36" w:rsidRPr="00A464E3" w:rsidSect="00CC2D71">
      <w:headerReference w:type="default" r:id="rId9"/>
      <w:pgSz w:w="16840" w:h="11907" w:orient="landscape" w:code="9"/>
      <w:pgMar w:top="1259" w:right="760" w:bottom="851" w:left="720" w:header="720" w:footer="6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734CB" w14:textId="77777777" w:rsidR="005E69E6" w:rsidRDefault="005E69E6" w:rsidP="00E53A81">
      <w:r>
        <w:separator/>
      </w:r>
    </w:p>
  </w:endnote>
  <w:endnote w:type="continuationSeparator" w:id="0">
    <w:p w14:paraId="2D264B08" w14:textId="77777777" w:rsidR="005E69E6" w:rsidRDefault="005E69E6" w:rsidP="00E5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87C40" w14:textId="77777777" w:rsidR="005E69E6" w:rsidRDefault="005E69E6" w:rsidP="00E53A81">
      <w:r>
        <w:separator/>
      </w:r>
    </w:p>
  </w:footnote>
  <w:footnote w:type="continuationSeparator" w:id="0">
    <w:p w14:paraId="285C244B" w14:textId="77777777" w:rsidR="005E69E6" w:rsidRDefault="005E69E6" w:rsidP="00E53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54111"/>
      <w:docPartObj>
        <w:docPartGallery w:val="Page Numbers (Top of Page)"/>
        <w:docPartUnique/>
      </w:docPartObj>
    </w:sdtPr>
    <w:sdtEndPr>
      <w:rPr>
        <w:noProof/>
      </w:rPr>
    </w:sdtEndPr>
    <w:sdtContent>
      <w:p w14:paraId="37C3AFAF" w14:textId="77777777" w:rsidR="0076049D" w:rsidRDefault="0076049D">
        <w:pPr>
          <w:pStyle w:val="Header"/>
          <w:jc w:val="center"/>
        </w:pPr>
        <w:r>
          <w:fldChar w:fldCharType="begin"/>
        </w:r>
        <w:r>
          <w:instrText xml:space="preserve"> PAGE   \* MERGEFORMAT </w:instrText>
        </w:r>
        <w:r>
          <w:fldChar w:fldCharType="separate"/>
        </w:r>
        <w:r w:rsidR="00A464E3">
          <w:rPr>
            <w:noProof/>
          </w:rPr>
          <w:t>5</w:t>
        </w:r>
        <w:r>
          <w:rPr>
            <w:noProof/>
          </w:rPr>
          <w:fldChar w:fldCharType="end"/>
        </w:r>
      </w:p>
    </w:sdtContent>
  </w:sdt>
  <w:p w14:paraId="6937AFED" w14:textId="77777777" w:rsidR="0076049D" w:rsidRDefault="007604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5FC"/>
    <w:multiLevelType w:val="hybridMultilevel"/>
    <w:tmpl w:val="7516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DB6"/>
    <w:multiLevelType w:val="hybridMultilevel"/>
    <w:tmpl w:val="C05E795E"/>
    <w:lvl w:ilvl="0" w:tplc="BF0CB7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F12E27"/>
    <w:multiLevelType w:val="hybridMultilevel"/>
    <w:tmpl w:val="F6082F4E"/>
    <w:lvl w:ilvl="0" w:tplc="A4AA8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A96C9B"/>
    <w:multiLevelType w:val="hybridMultilevel"/>
    <w:tmpl w:val="2880FC90"/>
    <w:lvl w:ilvl="0" w:tplc="D742A3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4CF5A48"/>
    <w:multiLevelType w:val="hybridMultilevel"/>
    <w:tmpl w:val="B44A315C"/>
    <w:lvl w:ilvl="0" w:tplc="5C00FA0E">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07833B2"/>
    <w:multiLevelType w:val="hybridMultilevel"/>
    <w:tmpl w:val="542A5954"/>
    <w:lvl w:ilvl="0" w:tplc="3C5E66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5CD46E6"/>
    <w:multiLevelType w:val="hybridMultilevel"/>
    <w:tmpl w:val="976A3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D2ADF"/>
    <w:multiLevelType w:val="hybridMultilevel"/>
    <w:tmpl w:val="25FCC232"/>
    <w:lvl w:ilvl="0" w:tplc="1E0276DA">
      <w:start w:val="1"/>
      <w:numFmt w:val="decimal"/>
      <w:lvlText w:val="%1."/>
      <w:lvlJc w:val="left"/>
      <w:pPr>
        <w:ind w:left="410" w:hanging="360"/>
      </w:pPr>
      <w:rPr>
        <w:rFonts w:hint="default"/>
        <w:color w:val="000000"/>
      </w:rPr>
    </w:lvl>
    <w:lvl w:ilvl="1" w:tplc="042A0019" w:tentative="1">
      <w:start w:val="1"/>
      <w:numFmt w:val="lowerLetter"/>
      <w:lvlText w:val="%2."/>
      <w:lvlJc w:val="left"/>
      <w:pPr>
        <w:ind w:left="1130" w:hanging="360"/>
      </w:pPr>
    </w:lvl>
    <w:lvl w:ilvl="2" w:tplc="042A001B" w:tentative="1">
      <w:start w:val="1"/>
      <w:numFmt w:val="lowerRoman"/>
      <w:lvlText w:val="%3."/>
      <w:lvlJc w:val="right"/>
      <w:pPr>
        <w:ind w:left="1850" w:hanging="180"/>
      </w:pPr>
    </w:lvl>
    <w:lvl w:ilvl="3" w:tplc="042A000F" w:tentative="1">
      <w:start w:val="1"/>
      <w:numFmt w:val="decimal"/>
      <w:lvlText w:val="%4."/>
      <w:lvlJc w:val="left"/>
      <w:pPr>
        <w:ind w:left="2570" w:hanging="360"/>
      </w:pPr>
    </w:lvl>
    <w:lvl w:ilvl="4" w:tplc="042A0019" w:tentative="1">
      <w:start w:val="1"/>
      <w:numFmt w:val="lowerLetter"/>
      <w:lvlText w:val="%5."/>
      <w:lvlJc w:val="left"/>
      <w:pPr>
        <w:ind w:left="3290" w:hanging="360"/>
      </w:pPr>
    </w:lvl>
    <w:lvl w:ilvl="5" w:tplc="042A001B" w:tentative="1">
      <w:start w:val="1"/>
      <w:numFmt w:val="lowerRoman"/>
      <w:lvlText w:val="%6."/>
      <w:lvlJc w:val="right"/>
      <w:pPr>
        <w:ind w:left="4010" w:hanging="180"/>
      </w:pPr>
    </w:lvl>
    <w:lvl w:ilvl="6" w:tplc="042A000F" w:tentative="1">
      <w:start w:val="1"/>
      <w:numFmt w:val="decimal"/>
      <w:lvlText w:val="%7."/>
      <w:lvlJc w:val="left"/>
      <w:pPr>
        <w:ind w:left="4730" w:hanging="360"/>
      </w:pPr>
    </w:lvl>
    <w:lvl w:ilvl="7" w:tplc="042A0019" w:tentative="1">
      <w:start w:val="1"/>
      <w:numFmt w:val="lowerLetter"/>
      <w:lvlText w:val="%8."/>
      <w:lvlJc w:val="left"/>
      <w:pPr>
        <w:ind w:left="5450" w:hanging="360"/>
      </w:pPr>
    </w:lvl>
    <w:lvl w:ilvl="8" w:tplc="042A001B" w:tentative="1">
      <w:start w:val="1"/>
      <w:numFmt w:val="lowerRoman"/>
      <w:lvlText w:val="%9."/>
      <w:lvlJc w:val="right"/>
      <w:pPr>
        <w:ind w:left="6170" w:hanging="180"/>
      </w:pPr>
    </w:lvl>
  </w:abstractNum>
  <w:abstractNum w:abstractNumId="8">
    <w:nsid w:val="481178A3"/>
    <w:multiLevelType w:val="hybridMultilevel"/>
    <w:tmpl w:val="F598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F3191C"/>
    <w:multiLevelType w:val="hybridMultilevel"/>
    <w:tmpl w:val="467C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CB1D96"/>
    <w:multiLevelType w:val="hybridMultilevel"/>
    <w:tmpl w:val="3C2A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97FC6"/>
    <w:multiLevelType w:val="hybridMultilevel"/>
    <w:tmpl w:val="42727050"/>
    <w:lvl w:ilvl="0" w:tplc="6F78E51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FC0C71"/>
    <w:multiLevelType w:val="hybridMultilevel"/>
    <w:tmpl w:val="C7C08E02"/>
    <w:lvl w:ilvl="0" w:tplc="2CA419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93B3876"/>
    <w:multiLevelType w:val="hybridMultilevel"/>
    <w:tmpl w:val="458EC4FC"/>
    <w:lvl w:ilvl="0" w:tplc="24CE6C4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991115"/>
    <w:multiLevelType w:val="hybridMultilevel"/>
    <w:tmpl w:val="F0C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3535E"/>
    <w:multiLevelType w:val="hybridMultilevel"/>
    <w:tmpl w:val="6BE24E5E"/>
    <w:lvl w:ilvl="0" w:tplc="D004B132">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732006D"/>
    <w:multiLevelType w:val="hybridMultilevel"/>
    <w:tmpl w:val="F2F2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A4DFF"/>
    <w:multiLevelType w:val="hybridMultilevel"/>
    <w:tmpl w:val="372AB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A41220"/>
    <w:multiLevelType w:val="hybridMultilevel"/>
    <w:tmpl w:val="AC360D56"/>
    <w:lvl w:ilvl="0" w:tplc="59265C7E">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5"/>
  </w:num>
  <w:num w:numId="3">
    <w:abstractNumId w:val="12"/>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num>
  <w:num w:numId="7">
    <w:abstractNumId w:val="9"/>
  </w:num>
  <w:num w:numId="8">
    <w:abstractNumId w:val="10"/>
  </w:num>
  <w:num w:numId="9">
    <w:abstractNumId w:val="2"/>
  </w:num>
  <w:num w:numId="10">
    <w:abstractNumId w:val="13"/>
  </w:num>
  <w:num w:numId="11">
    <w:abstractNumId w:val="5"/>
  </w:num>
  <w:num w:numId="12">
    <w:abstractNumId w:val="1"/>
  </w:num>
  <w:num w:numId="13">
    <w:abstractNumId w:val="3"/>
  </w:num>
  <w:num w:numId="14">
    <w:abstractNumId w:val="11"/>
  </w:num>
  <w:num w:numId="15">
    <w:abstractNumId w:val="6"/>
  </w:num>
  <w:num w:numId="16">
    <w:abstractNumId w:val="0"/>
  </w:num>
  <w:num w:numId="17">
    <w:abstractNumId w:val="8"/>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A4"/>
    <w:rsid w:val="0000301F"/>
    <w:rsid w:val="000074E8"/>
    <w:rsid w:val="00011276"/>
    <w:rsid w:val="00015EF0"/>
    <w:rsid w:val="00016E48"/>
    <w:rsid w:val="000215CE"/>
    <w:rsid w:val="000237A9"/>
    <w:rsid w:val="00031EF0"/>
    <w:rsid w:val="00031F27"/>
    <w:rsid w:val="00033653"/>
    <w:rsid w:val="00037D42"/>
    <w:rsid w:val="0004532C"/>
    <w:rsid w:val="00047CD5"/>
    <w:rsid w:val="00050048"/>
    <w:rsid w:val="000512BE"/>
    <w:rsid w:val="00051790"/>
    <w:rsid w:val="0005294A"/>
    <w:rsid w:val="000532D0"/>
    <w:rsid w:val="0005432A"/>
    <w:rsid w:val="000547A1"/>
    <w:rsid w:val="000554AF"/>
    <w:rsid w:val="00057EA8"/>
    <w:rsid w:val="00063CAC"/>
    <w:rsid w:val="00064893"/>
    <w:rsid w:val="00065BE7"/>
    <w:rsid w:val="00072D5D"/>
    <w:rsid w:val="0007357B"/>
    <w:rsid w:val="0007630C"/>
    <w:rsid w:val="00077F0C"/>
    <w:rsid w:val="00080D1E"/>
    <w:rsid w:val="00081C78"/>
    <w:rsid w:val="000835EC"/>
    <w:rsid w:val="00085F8B"/>
    <w:rsid w:val="00094015"/>
    <w:rsid w:val="00095E14"/>
    <w:rsid w:val="000B134D"/>
    <w:rsid w:val="000B1D88"/>
    <w:rsid w:val="000B4B5A"/>
    <w:rsid w:val="000C01C8"/>
    <w:rsid w:val="000C3C08"/>
    <w:rsid w:val="000C6220"/>
    <w:rsid w:val="000C747C"/>
    <w:rsid w:val="000D3F69"/>
    <w:rsid w:val="000E4D1E"/>
    <w:rsid w:val="000E589B"/>
    <w:rsid w:val="000E5D7D"/>
    <w:rsid w:val="000E6D7E"/>
    <w:rsid w:val="000F0D65"/>
    <w:rsid w:val="000F1157"/>
    <w:rsid w:val="0010117F"/>
    <w:rsid w:val="001117E5"/>
    <w:rsid w:val="0011668B"/>
    <w:rsid w:val="00117443"/>
    <w:rsid w:val="00130215"/>
    <w:rsid w:val="001326C6"/>
    <w:rsid w:val="00134793"/>
    <w:rsid w:val="00135E8F"/>
    <w:rsid w:val="00145D1F"/>
    <w:rsid w:val="00150674"/>
    <w:rsid w:val="00157C2D"/>
    <w:rsid w:val="00174F23"/>
    <w:rsid w:val="00184AA7"/>
    <w:rsid w:val="001857C1"/>
    <w:rsid w:val="001900B1"/>
    <w:rsid w:val="001B5768"/>
    <w:rsid w:val="001C1C4E"/>
    <w:rsid w:val="001C3FA9"/>
    <w:rsid w:val="001D0226"/>
    <w:rsid w:val="001D297F"/>
    <w:rsid w:val="001D65F3"/>
    <w:rsid w:val="001D67D2"/>
    <w:rsid w:val="001E046F"/>
    <w:rsid w:val="001E1AB8"/>
    <w:rsid w:val="001E3529"/>
    <w:rsid w:val="001F18C2"/>
    <w:rsid w:val="001F2647"/>
    <w:rsid w:val="001F2FD7"/>
    <w:rsid w:val="00202DB6"/>
    <w:rsid w:val="00203BDE"/>
    <w:rsid w:val="002076B9"/>
    <w:rsid w:val="00215676"/>
    <w:rsid w:val="00221CEE"/>
    <w:rsid w:val="0022245F"/>
    <w:rsid w:val="002226E2"/>
    <w:rsid w:val="00224F2B"/>
    <w:rsid w:val="002333F8"/>
    <w:rsid w:val="00233D9F"/>
    <w:rsid w:val="00234AF4"/>
    <w:rsid w:val="002404BB"/>
    <w:rsid w:val="0024152B"/>
    <w:rsid w:val="00245905"/>
    <w:rsid w:val="00250C1B"/>
    <w:rsid w:val="00250CFA"/>
    <w:rsid w:val="0025155F"/>
    <w:rsid w:val="002619E4"/>
    <w:rsid w:val="0026201B"/>
    <w:rsid w:val="00266BE1"/>
    <w:rsid w:val="0027468B"/>
    <w:rsid w:val="00281F6F"/>
    <w:rsid w:val="00284982"/>
    <w:rsid w:val="00287AA5"/>
    <w:rsid w:val="00290596"/>
    <w:rsid w:val="00290697"/>
    <w:rsid w:val="00293CBB"/>
    <w:rsid w:val="00295C2B"/>
    <w:rsid w:val="002A1204"/>
    <w:rsid w:val="002A531E"/>
    <w:rsid w:val="002B5CB5"/>
    <w:rsid w:val="002B6A5E"/>
    <w:rsid w:val="002B7E69"/>
    <w:rsid w:val="002C6E00"/>
    <w:rsid w:val="002D11CE"/>
    <w:rsid w:val="002D42D8"/>
    <w:rsid w:val="002D68F5"/>
    <w:rsid w:val="002D754E"/>
    <w:rsid w:val="002E5845"/>
    <w:rsid w:val="002F4653"/>
    <w:rsid w:val="003104C1"/>
    <w:rsid w:val="0031387B"/>
    <w:rsid w:val="00316BCC"/>
    <w:rsid w:val="003175A8"/>
    <w:rsid w:val="003237AC"/>
    <w:rsid w:val="00326AC6"/>
    <w:rsid w:val="0033639B"/>
    <w:rsid w:val="0034043A"/>
    <w:rsid w:val="00347890"/>
    <w:rsid w:val="00352AB6"/>
    <w:rsid w:val="00355679"/>
    <w:rsid w:val="00357F53"/>
    <w:rsid w:val="003629FC"/>
    <w:rsid w:val="00366FAF"/>
    <w:rsid w:val="00367AC9"/>
    <w:rsid w:val="003744E1"/>
    <w:rsid w:val="00375350"/>
    <w:rsid w:val="003860C3"/>
    <w:rsid w:val="00386E6A"/>
    <w:rsid w:val="003879CF"/>
    <w:rsid w:val="003A0C84"/>
    <w:rsid w:val="003A32BB"/>
    <w:rsid w:val="003A4DD4"/>
    <w:rsid w:val="003B2E2A"/>
    <w:rsid w:val="003B37A4"/>
    <w:rsid w:val="003C180B"/>
    <w:rsid w:val="003C71FE"/>
    <w:rsid w:val="003C7527"/>
    <w:rsid w:val="003D0B40"/>
    <w:rsid w:val="003D3035"/>
    <w:rsid w:val="003E1FC9"/>
    <w:rsid w:val="003E3D22"/>
    <w:rsid w:val="003E5B11"/>
    <w:rsid w:val="003F4A5A"/>
    <w:rsid w:val="003F600C"/>
    <w:rsid w:val="003F77EC"/>
    <w:rsid w:val="00400F69"/>
    <w:rsid w:val="00401B82"/>
    <w:rsid w:val="00403508"/>
    <w:rsid w:val="004038B5"/>
    <w:rsid w:val="00410E26"/>
    <w:rsid w:val="00411147"/>
    <w:rsid w:val="00412ECB"/>
    <w:rsid w:val="004176CA"/>
    <w:rsid w:val="004236C5"/>
    <w:rsid w:val="00423F4B"/>
    <w:rsid w:val="004241CB"/>
    <w:rsid w:val="00427CE2"/>
    <w:rsid w:val="00432DE1"/>
    <w:rsid w:val="00433230"/>
    <w:rsid w:val="004347FC"/>
    <w:rsid w:val="00441FED"/>
    <w:rsid w:val="0044762A"/>
    <w:rsid w:val="0045547A"/>
    <w:rsid w:val="0045763B"/>
    <w:rsid w:val="00457FD5"/>
    <w:rsid w:val="00464D04"/>
    <w:rsid w:val="0046535C"/>
    <w:rsid w:val="0046744F"/>
    <w:rsid w:val="004702FD"/>
    <w:rsid w:val="00472708"/>
    <w:rsid w:val="00475981"/>
    <w:rsid w:val="00480A85"/>
    <w:rsid w:val="004843B6"/>
    <w:rsid w:val="00486CAB"/>
    <w:rsid w:val="004906CC"/>
    <w:rsid w:val="00494F5F"/>
    <w:rsid w:val="00496FF3"/>
    <w:rsid w:val="004A239B"/>
    <w:rsid w:val="004A3692"/>
    <w:rsid w:val="004A6669"/>
    <w:rsid w:val="004B1397"/>
    <w:rsid w:val="004B341D"/>
    <w:rsid w:val="004C52DD"/>
    <w:rsid w:val="004C5F8E"/>
    <w:rsid w:val="004C7908"/>
    <w:rsid w:val="004C7BEA"/>
    <w:rsid w:val="004D32A0"/>
    <w:rsid w:val="004D376F"/>
    <w:rsid w:val="004D38CF"/>
    <w:rsid w:val="004D62A6"/>
    <w:rsid w:val="004F0148"/>
    <w:rsid w:val="004F1170"/>
    <w:rsid w:val="004F2869"/>
    <w:rsid w:val="004F5393"/>
    <w:rsid w:val="004F6386"/>
    <w:rsid w:val="00506770"/>
    <w:rsid w:val="00513454"/>
    <w:rsid w:val="00525788"/>
    <w:rsid w:val="00540954"/>
    <w:rsid w:val="00540996"/>
    <w:rsid w:val="0054495A"/>
    <w:rsid w:val="00544F73"/>
    <w:rsid w:val="005462B9"/>
    <w:rsid w:val="005507D9"/>
    <w:rsid w:val="00551AF6"/>
    <w:rsid w:val="005528D2"/>
    <w:rsid w:val="00552C17"/>
    <w:rsid w:val="00554102"/>
    <w:rsid w:val="00554DED"/>
    <w:rsid w:val="00555480"/>
    <w:rsid w:val="00561355"/>
    <w:rsid w:val="0056276E"/>
    <w:rsid w:val="00562A24"/>
    <w:rsid w:val="00573E29"/>
    <w:rsid w:val="00574AEE"/>
    <w:rsid w:val="00577C92"/>
    <w:rsid w:val="0058023E"/>
    <w:rsid w:val="00583C0A"/>
    <w:rsid w:val="00593F07"/>
    <w:rsid w:val="00593F6D"/>
    <w:rsid w:val="0059778E"/>
    <w:rsid w:val="005A1FDE"/>
    <w:rsid w:val="005A23CF"/>
    <w:rsid w:val="005A4219"/>
    <w:rsid w:val="005A4E12"/>
    <w:rsid w:val="005A56D0"/>
    <w:rsid w:val="005A7F9B"/>
    <w:rsid w:val="005C2991"/>
    <w:rsid w:val="005C2A0E"/>
    <w:rsid w:val="005C6732"/>
    <w:rsid w:val="005D4280"/>
    <w:rsid w:val="005E31AA"/>
    <w:rsid w:val="005E69E6"/>
    <w:rsid w:val="005F29BA"/>
    <w:rsid w:val="005F7A52"/>
    <w:rsid w:val="00600549"/>
    <w:rsid w:val="006026D7"/>
    <w:rsid w:val="00604132"/>
    <w:rsid w:val="006130D8"/>
    <w:rsid w:val="00614048"/>
    <w:rsid w:val="00614445"/>
    <w:rsid w:val="00617B7B"/>
    <w:rsid w:val="00625E19"/>
    <w:rsid w:val="0062674E"/>
    <w:rsid w:val="0063493D"/>
    <w:rsid w:val="00635D15"/>
    <w:rsid w:val="006374B4"/>
    <w:rsid w:val="00637976"/>
    <w:rsid w:val="0065219F"/>
    <w:rsid w:val="00654557"/>
    <w:rsid w:val="00654652"/>
    <w:rsid w:val="00661EDF"/>
    <w:rsid w:val="00673F1B"/>
    <w:rsid w:val="006773F6"/>
    <w:rsid w:val="006819B3"/>
    <w:rsid w:val="00686EEB"/>
    <w:rsid w:val="00691222"/>
    <w:rsid w:val="00694528"/>
    <w:rsid w:val="006A04A4"/>
    <w:rsid w:val="006A2200"/>
    <w:rsid w:val="006A512A"/>
    <w:rsid w:val="006A55C3"/>
    <w:rsid w:val="006B0086"/>
    <w:rsid w:val="006B3642"/>
    <w:rsid w:val="006B7FA3"/>
    <w:rsid w:val="006C127A"/>
    <w:rsid w:val="006C34B3"/>
    <w:rsid w:val="006C59D5"/>
    <w:rsid w:val="006D2DE3"/>
    <w:rsid w:val="006D35BC"/>
    <w:rsid w:val="006D5560"/>
    <w:rsid w:val="006E29ED"/>
    <w:rsid w:val="006E7759"/>
    <w:rsid w:val="006F0890"/>
    <w:rsid w:val="006F27C5"/>
    <w:rsid w:val="006F3E72"/>
    <w:rsid w:val="006F6C2C"/>
    <w:rsid w:val="00703A0D"/>
    <w:rsid w:val="007068F7"/>
    <w:rsid w:val="00707583"/>
    <w:rsid w:val="007150AF"/>
    <w:rsid w:val="007229CE"/>
    <w:rsid w:val="00731C8E"/>
    <w:rsid w:val="00735D69"/>
    <w:rsid w:val="0073659E"/>
    <w:rsid w:val="0074555F"/>
    <w:rsid w:val="00747707"/>
    <w:rsid w:val="007477AC"/>
    <w:rsid w:val="00750454"/>
    <w:rsid w:val="00751E92"/>
    <w:rsid w:val="0076049D"/>
    <w:rsid w:val="00762133"/>
    <w:rsid w:val="00762CF6"/>
    <w:rsid w:val="007722A7"/>
    <w:rsid w:val="0077391B"/>
    <w:rsid w:val="00777435"/>
    <w:rsid w:val="007804ED"/>
    <w:rsid w:val="00782928"/>
    <w:rsid w:val="00782B9E"/>
    <w:rsid w:val="00782E7E"/>
    <w:rsid w:val="0079390D"/>
    <w:rsid w:val="00794A1F"/>
    <w:rsid w:val="00797A9C"/>
    <w:rsid w:val="007A21C1"/>
    <w:rsid w:val="007A4391"/>
    <w:rsid w:val="007A7474"/>
    <w:rsid w:val="007B1709"/>
    <w:rsid w:val="007C3EFF"/>
    <w:rsid w:val="007C3F6B"/>
    <w:rsid w:val="007D4555"/>
    <w:rsid w:val="007D4D3A"/>
    <w:rsid w:val="007E5DCD"/>
    <w:rsid w:val="007F1692"/>
    <w:rsid w:val="007F367E"/>
    <w:rsid w:val="007F4574"/>
    <w:rsid w:val="0080122D"/>
    <w:rsid w:val="008043C0"/>
    <w:rsid w:val="00806EE3"/>
    <w:rsid w:val="008123BA"/>
    <w:rsid w:val="00814364"/>
    <w:rsid w:val="00822187"/>
    <w:rsid w:val="0082321E"/>
    <w:rsid w:val="0082385A"/>
    <w:rsid w:val="008262C6"/>
    <w:rsid w:val="00826F3C"/>
    <w:rsid w:val="00834C3D"/>
    <w:rsid w:val="008355BA"/>
    <w:rsid w:val="00835A12"/>
    <w:rsid w:val="00836093"/>
    <w:rsid w:val="008374F5"/>
    <w:rsid w:val="008464FB"/>
    <w:rsid w:val="00847802"/>
    <w:rsid w:val="008561CC"/>
    <w:rsid w:val="00865E68"/>
    <w:rsid w:val="00871C39"/>
    <w:rsid w:val="00877185"/>
    <w:rsid w:val="008771C0"/>
    <w:rsid w:val="0087739C"/>
    <w:rsid w:val="00881381"/>
    <w:rsid w:val="0088317B"/>
    <w:rsid w:val="00886FEB"/>
    <w:rsid w:val="008875A7"/>
    <w:rsid w:val="00891BF8"/>
    <w:rsid w:val="008936B8"/>
    <w:rsid w:val="00897D67"/>
    <w:rsid w:val="008A5D80"/>
    <w:rsid w:val="008A79A4"/>
    <w:rsid w:val="008B3528"/>
    <w:rsid w:val="008B4441"/>
    <w:rsid w:val="008B626F"/>
    <w:rsid w:val="008B6EB8"/>
    <w:rsid w:val="008B776E"/>
    <w:rsid w:val="008C1357"/>
    <w:rsid w:val="008D2284"/>
    <w:rsid w:val="008D64DF"/>
    <w:rsid w:val="008D6C36"/>
    <w:rsid w:val="008E2315"/>
    <w:rsid w:val="008E5153"/>
    <w:rsid w:val="008F0D47"/>
    <w:rsid w:val="00900716"/>
    <w:rsid w:val="00901811"/>
    <w:rsid w:val="0090289E"/>
    <w:rsid w:val="009072A6"/>
    <w:rsid w:val="009167DD"/>
    <w:rsid w:val="009168AE"/>
    <w:rsid w:val="00921628"/>
    <w:rsid w:val="00932A61"/>
    <w:rsid w:val="00935E63"/>
    <w:rsid w:val="00937F97"/>
    <w:rsid w:val="00941703"/>
    <w:rsid w:val="009437B0"/>
    <w:rsid w:val="00944859"/>
    <w:rsid w:val="0094668C"/>
    <w:rsid w:val="009502A8"/>
    <w:rsid w:val="00950797"/>
    <w:rsid w:val="00956C78"/>
    <w:rsid w:val="009630D4"/>
    <w:rsid w:val="00963707"/>
    <w:rsid w:val="009710E6"/>
    <w:rsid w:val="009711D5"/>
    <w:rsid w:val="0097469F"/>
    <w:rsid w:val="00977765"/>
    <w:rsid w:val="00980675"/>
    <w:rsid w:val="0098413F"/>
    <w:rsid w:val="0099546D"/>
    <w:rsid w:val="009A1B32"/>
    <w:rsid w:val="009A4351"/>
    <w:rsid w:val="009B04ED"/>
    <w:rsid w:val="009B135E"/>
    <w:rsid w:val="009B25D3"/>
    <w:rsid w:val="009B4446"/>
    <w:rsid w:val="009B45BF"/>
    <w:rsid w:val="009B5820"/>
    <w:rsid w:val="009C258A"/>
    <w:rsid w:val="009D3644"/>
    <w:rsid w:val="009E32FF"/>
    <w:rsid w:val="009E6A42"/>
    <w:rsid w:val="009E7C17"/>
    <w:rsid w:val="00A00D47"/>
    <w:rsid w:val="00A111B5"/>
    <w:rsid w:val="00A1293D"/>
    <w:rsid w:val="00A16C74"/>
    <w:rsid w:val="00A277EB"/>
    <w:rsid w:val="00A30E5B"/>
    <w:rsid w:val="00A375C5"/>
    <w:rsid w:val="00A40581"/>
    <w:rsid w:val="00A44BBB"/>
    <w:rsid w:val="00A464E3"/>
    <w:rsid w:val="00A46DC3"/>
    <w:rsid w:val="00A55304"/>
    <w:rsid w:val="00A5539E"/>
    <w:rsid w:val="00A569D7"/>
    <w:rsid w:val="00A57731"/>
    <w:rsid w:val="00A577DF"/>
    <w:rsid w:val="00A60627"/>
    <w:rsid w:val="00A64533"/>
    <w:rsid w:val="00A66FEE"/>
    <w:rsid w:val="00A70E4F"/>
    <w:rsid w:val="00A72CA8"/>
    <w:rsid w:val="00A746E1"/>
    <w:rsid w:val="00A77CA2"/>
    <w:rsid w:val="00A80E28"/>
    <w:rsid w:val="00A82EC5"/>
    <w:rsid w:val="00A94B16"/>
    <w:rsid w:val="00AA5A4A"/>
    <w:rsid w:val="00AA7DFF"/>
    <w:rsid w:val="00AB5E55"/>
    <w:rsid w:val="00AB7223"/>
    <w:rsid w:val="00AC1191"/>
    <w:rsid w:val="00AC3738"/>
    <w:rsid w:val="00AC5D7F"/>
    <w:rsid w:val="00AE1561"/>
    <w:rsid w:val="00AE61EA"/>
    <w:rsid w:val="00AF3799"/>
    <w:rsid w:val="00AF5BC6"/>
    <w:rsid w:val="00AF7A42"/>
    <w:rsid w:val="00B04FD8"/>
    <w:rsid w:val="00B07EFB"/>
    <w:rsid w:val="00B246E9"/>
    <w:rsid w:val="00B43F08"/>
    <w:rsid w:val="00B4630B"/>
    <w:rsid w:val="00B5268E"/>
    <w:rsid w:val="00B5310F"/>
    <w:rsid w:val="00B535E5"/>
    <w:rsid w:val="00B6469A"/>
    <w:rsid w:val="00B80E3D"/>
    <w:rsid w:val="00B8784F"/>
    <w:rsid w:val="00B93199"/>
    <w:rsid w:val="00B947E6"/>
    <w:rsid w:val="00B95D86"/>
    <w:rsid w:val="00B96EC0"/>
    <w:rsid w:val="00BA4E62"/>
    <w:rsid w:val="00BA734D"/>
    <w:rsid w:val="00BB2DA5"/>
    <w:rsid w:val="00BD0F37"/>
    <w:rsid w:val="00BD200F"/>
    <w:rsid w:val="00BD2A7B"/>
    <w:rsid w:val="00BD3546"/>
    <w:rsid w:val="00BD387A"/>
    <w:rsid w:val="00BD698B"/>
    <w:rsid w:val="00BE2B34"/>
    <w:rsid w:val="00BE6424"/>
    <w:rsid w:val="00BE708C"/>
    <w:rsid w:val="00BE7EA1"/>
    <w:rsid w:val="00BF08A6"/>
    <w:rsid w:val="00BF2AA6"/>
    <w:rsid w:val="00BF6120"/>
    <w:rsid w:val="00C00ED0"/>
    <w:rsid w:val="00C07CC3"/>
    <w:rsid w:val="00C13334"/>
    <w:rsid w:val="00C162AF"/>
    <w:rsid w:val="00C27F97"/>
    <w:rsid w:val="00C34C20"/>
    <w:rsid w:val="00C42BA6"/>
    <w:rsid w:val="00C44841"/>
    <w:rsid w:val="00C456BA"/>
    <w:rsid w:val="00C54CFC"/>
    <w:rsid w:val="00C5595C"/>
    <w:rsid w:val="00C55AEA"/>
    <w:rsid w:val="00C611BB"/>
    <w:rsid w:val="00C611F9"/>
    <w:rsid w:val="00C62DCB"/>
    <w:rsid w:val="00C87317"/>
    <w:rsid w:val="00C918A2"/>
    <w:rsid w:val="00C93F6A"/>
    <w:rsid w:val="00C95435"/>
    <w:rsid w:val="00CA627C"/>
    <w:rsid w:val="00CA78F9"/>
    <w:rsid w:val="00CB1B10"/>
    <w:rsid w:val="00CB3519"/>
    <w:rsid w:val="00CB7F97"/>
    <w:rsid w:val="00CC1019"/>
    <w:rsid w:val="00CC2D71"/>
    <w:rsid w:val="00CC472F"/>
    <w:rsid w:val="00CC4AC5"/>
    <w:rsid w:val="00CC6291"/>
    <w:rsid w:val="00CD08F5"/>
    <w:rsid w:val="00CD1BFA"/>
    <w:rsid w:val="00CD56C8"/>
    <w:rsid w:val="00CD60EF"/>
    <w:rsid w:val="00CE1C03"/>
    <w:rsid w:val="00CE1E96"/>
    <w:rsid w:val="00CE2DB3"/>
    <w:rsid w:val="00CE389A"/>
    <w:rsid w:val="00CE4012"/>
    <w:rsid w:val="00CE4540"/>
    <w:rsid w:val="00CE7859"/>
    <w:rsid w:val="00CF1CFF"/>
    <w:rsid w:val="00D01EA8"/>
    <w:rsid w:val="00D02A7F"/>
    <w:rsid w:val="00D038B2"/>
    <w:rsid w:val="00D04F62"/>
    <w:rsid w:val="00D102FB"/>
    <w:rsid w:val="00D13410"/>
    <w:rsid w:val="00D22CC1"/>
    <w:rsid w:val="00D230CB"/>
    <w:rsid w:val="00D235AE"/>
    <w:rsid w:val="00D240AE"/>
    <w:rsid w:val="00D316F1"/>
    <w:rsid w:val="00D3611B"/>
    <w:rsid w:val="00D368BF"/>
    <w:rsid w:val="00D40D47"/>
    <w:rsid w:val="00D4297D"/>
    <w:rsid w:val="00D436A8"/>
    <w:rsid w:val="00D56BBC"/>
    <w:rsid w:val="00D61CEE"/>
    <w:rsid w:val="00D65183"/>
    <w:rsid w:val="00D67847"/>
    <w:rsid w:val="00D706DF"/>
    <w:rsid w:val="00D72F2C"/>
    <w:rsid w:val="00D76B04"/>
    <w:rsid w:val="00D845CD"/>
    <w:rsid w:val="00D9096E"/>
    <w:rsid w:val="00D9262E"/>
    <w:rsid w:val="00D93023"/>
    <w:rsid w:val="00D9493D"/>
    <w:rsid w:val="00D96793"/>
    <w:rsid w:val="00D968EB"/>
    <w:rsid w:val="00D972AE"/>
    <w:rsid w:val="00DA0C24"/>
    <w:rsid w:val="00DA198A"/>
    <w:rsid w:val="00DA4BAE"/>
    <w:rsid w:val="00DA7B07"/>
    <w:rsid w:val="00DB0674"/>
    <w:rsid w:val="00DB30E8"/>
    <w:rsid w:val="00DB4098"/>
    <w:rsid w:val="00DC1342"/>
    <w:rsid w:val="00DC344F"/>
    <w:rsid w:val="00DC6BAB"/>
    <w:rsid w:val="00DD06A1"/>
    <w:rsid w:val="00DD0A49"/>
    <w:rsid w:val="00DD2668"/>
    <w:rsid w:val="00DE2576"/>
    <w:rsid w:val="00DE5239"/>
    <w:rsid w:val="00DE6473"/>
    <w:rsid w:val="00DE686B"/>
    <w:rsid w:val="00DE70F2"/>
    <w:rsid w:val="00DF0170"/>
    <w:rsid w:val="00DF16AB"/>
    <w:rsid w:val="00DF308F"/>
    <w:rsid w:val="00DF3D85"/>
    <w:rsid w:val="00E03A6F"/>
    <w:rsid w:val="00E05FDE"/>
    <w:rsid w:val="00E106A3"/>
    <w:rsid w:val="00E10727"/>
    <w:rsid w:val="00E131A8"/>
    <w:rsid w:val="00E15C29"/>
    <w:rsid w:val="00E15DA4"/>
    <w:rsid w:val="00E21173"/>
    <w:rsid w:val="00E22641"/>
    <w:rsid w:val="00E24C9C"/>
    <w:rsid w:val="00E2602C"/>
    <w:rsid w:val="00E325A7"/>
    <w:rsid w:val="00E37B93"/>
    <w:rsid w:val="00E4109F"/>
    <w:rsid w:val="00E45AD8"/>
    <w:rsid w:val="00E46347"/>
    <w:rsid w:val="00E473C0"/>
    <w:rsid w:val="00E5229B"/>
    <w:rsid w:val="00E53A81"/>
    <w:rsid w:val="00E54028"/>
    <w:rsid w:val="00E54897"/>
    <w:rsid w:val="00E56959"/>
    <w:rsid w:val="00E60E10"/>
    <w:rsid w:val="00E62A8D"/>
    <w:rsid w:val="00E66F8A"/>
    <w:rsid w:val="00E672E9"/>
    <w:rsid w:val="00E7072F"/>
    <w:rsid w:val="00E777A1"/>
    <w:rsid w:val="00E90DFA"/>
    <w:rsid w:val="00E93540"/>
    <w:rsid w:val="00E94879"/>
    <w:rsid w:val="00E959C2"/>
    <w:rsid w:val="00EA328C"/>
    <w:rsid w:val="00EA3A3C"/>
    <w:rsid w:val="00EA50CE"/>
    <w:rsid w:val="00EA6479"/>
    <w:rsid w:val="00EA6B46"/>
    <w:rsid w:val="00EA75E5"/>
    <w:rsid w:val="00EA7B05"/>
    <w:rsid w:val="00EB0481"/>
    <w:rsid w:val="00EB0CDE"/>
    <w:rsid w:val="00EB7FFB"/>
    <w:rsid w:val="00EC07CF"/>
    <w:rsid w:val="00EC3F72"/>
    <w:rsid w:val="00EC5A55"/>
    <w:rsid w:val="00ED27F6"/>
    <w:rsid w:val="00EE0E5B"/>
    <w:rsid w:val="00EE1218"/>
    <w:rsid w:val="00EE1520"/>
    <w:rsid w:val="00EF5731"/>
    <w:rsid w:val="00F0373C"/>
    <w:rsid w:val="00F05356"/>
    <w:rsid w:val="00F10B7F"/>
    <w:rsid w:val="00F12A41"/>
    <w:rsid w:val="00F12FF9"/>
    <w:rsid w:val="00F13878"/>
    <w:rsid w:val="00F20252"/>
    <w:rsid w:val="00F2380A"/>
    <w:rsid w:val="00F243BA"/>
    <w:rsid w:val="00F322AE"/>
    <w:rsid w:val="00F3327A"/>
    <w:rsid w:val="00F3612F"/>
    <w:rsid w:val="00F371AE"/>
    <w:rsid w:val="00F403FB"/>
    <w:rsid w:val="00F40694"/>
    <w:rsid w:val="00F45B47"/>
    <w:rsid w:val="00F45D40"/>
    <w:rsid w:val="00F53195"/>
    <w:rsid w:val="00F54947"/>
    <w:rsid w:val="00F60A97"/>
    <w:rsid w:val="00F6126C"/>
    <w:rsid w:val="00F710B4"/>
    <w:rsid w:val="00F74AD6"/>
    <w:rsid w:val="00F74B0F"/>
    <w:rsid w:val="00F752C7"/>
    <w:rsid w:val="00F77B8C"/>
    <w:rsid w:val="00F8000D"/>
    <w:rsid w:val="00F82BAC"/>
    <w:rsid w:val="00F878E8"/>
    <w:rsid w:val="00F87BDB"/>
    <w:rsid w:val="00F93E53"/>
    <w:rsid w:val="00F975CE"/>
    <w:rsid w:val="00FA1E5C"/>
    <w:rsid w:val="00FA3340"/>
    <w:rsid w:val="00FA72AA"/>
    <w:rsid w:val="00FB2A7D"/>
    <w:rsid w:val="00FB6CC1"/>
    <w:rsid w:val="00FC3E26"/>
    <w:rsid w:val="00FD1B60"/>
    <w:rsid w:val="00FD53DF"/>
    <w:rsid w:val="00FD56CF"/>
    <w:rsid w:val="00FE386C"/>
    <w:rsid w:val="00FE4F5D"/>
    <w:rsid w:val="00FE566D"/>
    <w:rsid w:val="00FE6528"/>
    <w:rsid w:val="00FE6EC8"/>
    <w:rsid w:val="00FE6F95"/>
    <w:rsid w:val="00FE770E"/>
    <w:rsid w:val="00FF3EF3"/>
    <w:rsid w:val="00FF528E"/>
    <w:rsid w:val="00FF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2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E70F2"/>
    <w:pPr>
      <w:keepNext/>
      <w:tabs>
        <w:tab w:val="center" w:pos="1985"/>
        <w:tab w:val="center" w:pos="5954"/>
      </w:tabs>
      <w:jc w:val="center"/>
      <w:outlineLvl w:val="0"/>
    </w:pPr>
    <w:rPr>
      <w:rFonts w:ascii=".VnTime"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n14pt">
    <w:name w:val="Norman+14pt"/>
    <w:basedOn w:val="Normal"/>
    <w:rsid w:val="00865E68"/>
    <w:pPr>
      <w:spacing w:before="120"/>
      <w:ind w:firstLine="720"/>
      <w:jc w:val="both"/>
    </w:pPr>
    <w:rPr>
      <w:iCs/>
      <w:lang w:val="nl-NL"/>
    </w:rPr>
  </w:style>
  <w:style w:type="paragraph" w:customStyle="1" w:styleId="CharCharCharChar">
    <w:name w:val="Char Char Char Char"/>
    <w:basedOn w:val="Normal"/>
    <w:next w:val="Normal"/>
    <w:autoRedefine/>
    <w:semiHidden/>
    <w:rsid w:val="00E131A8"/>
    <w:pPr>
      <w:spacing w:before="120" w:after="120" w:line="312" w:lineRule="auto"/>
    </w:pPr>
    <w:rPr>
      <w:sz w:val="28"/>
      <w:szCs w:val="28"/>
    </w:rPr>
  </w:style>
  <w:style w:type="character" w:customStyle="1" w:styleId="BodyTextChar">
    <w:name w:val="Body Text Char"/>
    <w:link w:val="BodyText"/>
    <w:locked/>
    <w:rsid w:val="00DE70F2"/>
    <w:rPr>
      <w:rFonts w:ascii=".VnTime" w:hAnsi=".VnTime"/>
      <w:sz w:val="28"/>
      <w:lang w:val="en-US" w:eastAsia="en-US" w:bidi="ar-SA"/>
    </w:rPr>
  </w:style>
  <w:style w:type="paragraph" w:styleId="BodyText">
    <w:name w:val="Body Text"/>
    <w:basedOn w:val="Normal"/>
    <w:link w:val="BodyTextChar"/>
    <w:rsid w:val="00DE70F2"/>
    <w:pPr>
      <w:jc w:val="both"/>
    </w:pPr>
    <w:rPr>
      <w:rFonts w:ascii=".VnTime" w:hAnsi=".VnTime"/>
      <w:sz w:val="28"/>
      <w:szCs w:val="20"/>
    </w:rPr>
  </w:style>
  <w:style w:type="paragraph" w:customStyle="1" w:styleId="CharCharCharCharCharCharChar">
    <w:name w:val="Char Char Char Char Char Char Char"/>
    <w:basedOn w:val="Normal"/>
    <w:semiHidden/>
    <w:rsid w:val="00806EE3"/>
    <w:pPr>
      <w:spacing w:before="120" w:after="160" w:line="240" w:lineRule="exact"/>
      <w:ind w:firstLine="700"/>
    </w:pPr>
    <w:rPr>
      <w:rFonts w:ascii="Arial" w:hAnsi="Arial" w:cs="Arial"/>
      <w:sz w:val="22"/>
      <w:szCs w:val="22"/>
    </w:rPr>
  </w:style>
  <w:style w:type="paragraph" w:styleId="Header">
    <w:name w:val="header"/>
    <w:basedOn w:val="Normal"/>
    <w:link w:val="HeaderChar"/>
    <w:uiPriority w:val="99"/>
    <w:rsid w:val="00E53A81"/>
    <w:pPr>
      <w:tabs>
        <w:tab w:val="center" w:pos="4680"/>
        <w:tab w:val="right" w:pos="9360"/>
      </w:tabs>
    </w:pPr>
  </w:style>
  <w:style w:type="character" w:customStyle="1" w:styleId="HeaderChar">
    <w:name w:val="Header Char"/>
    <w:link w:val="Header"/>
    <w:uiPriority w:val="99"/>
    <w:rsid w:val="00E53A81"/>
    <w:rPr>
      <w:sz w:val="24"/>
      <w:szCs w:val="24"/>
    </w:rPr>
  </w:style>
  <w:style w:type="paragraph" w:styleId="Footer">
    <w:name w:val="footer"/>
    <w:basedOn w:val="Normal"/>
    <w:link w:val="FooterChar"/>
    <w:uiPriority w:val="99"/>
    <w:rsid w:val="00E53A81"/>
    <w:pPr>
      <w:tabs>
        <w:tab w:val="center" w:pos="4680"/>
        <w:tab w:val="right" w:pos="9360"/>
      </w:tabs>
    </w:pPr>
  </w:style>
  <w:style w:type="character" w:customStyle="1" w:styleId="FooterChar">
    <w:name w:val="Footer Char"/>
    <w:link w:val="Footer"/>
    <w:uiPriority w:val="99"/>
    <w:rsid w:val="00E53A81"/>
    <w:rPr>
      <w:sz w:val="24"/>
      <w:szCs w:val="24"/>
    </w:rPr>
  </w:style>
  <w:style w:type="paragraph" w:styleId="ListParagraph">
    <w:name w:val="List Paragraph"/>
    <w:basedOn w:val="Normal"/>
    <w:uiPriority w:val="34"/>
    <w:qFormat/>
    <w:rsid w:val="00E473C0"/>
    <w:pPr>
      <w:ind w:left="720"/>
      <w:contextualSpacing/>
    </w:pPr>
  </w:style>
  <w:style w:type="paragraph" w:styleId="BalloonText">
    <w:name w:val="Balloon Text"/>
    <w:basedOn w:val="Normal"/>
    <w:link w:val="BalloonTextChar"/>
    <w:rsid w:val="008D6C36"/>
    <w:rPr>
      <w:rFonts w:ascii="Tahoma" w:hAnsi="Tahoma" w:cs="Tahoma"/>
      <w:sz w:val="16"/>
      <w:szCs w:val="16"/>
    </w:rPr>
  </w:style>
  <w:style w:type="character" w:customStyle="1" w:styleId="BalloonTextChar">
    <w:name w:val="Balloon Text Char"/>
    <w:basedOn w:val="DefaultParagraphFont"/>
    <w:link w:val="BalloonText"/>
    <w:rsid w:val="008D6C36"/>
    <w:rPr>
      <w:rFonts w:ascii="Tahoma" w:hAnsi="Tahoma" w:cs="Tahoma"/>
      <w:sz w:val="16"/>
      <w:szCs w:val="16"/>
    </w:rPr>
  </w:style>
  <w:style w:type="character" w:customStyle="1" w:styleId="Vnbnnidung5">
    <w:name w:val="Văn bản nội dung (5)_"/>
    <w:basedOn w:val="DefaultParagraphFont"/>
    <w:rsid w:val="0027468B"/>
    <w:rPr>
      <w:rFonts w:ascii="Times New Roman" w:eastAsia="Times New Roman" w:hAnsi="Times New Roman" w:cs="Times New Roman"/>
      <w:b w:val="0"/>
      <w:bCs w:val="0"/>
      <w:i/>
      <w:iCs/>
      <w:smallCaps w:val="0"/>
      <w:strike w:val="0"/>
      <w:sz w:val="28"/>
      <w:szCs w:val="28"/>
      <w:u w:val="none"/>
    </w:rPr>
  </w:style>
  <w:style w:type="character" w:customStyle="1" w:styleId="Vnbnnidung2">
    <w:name w:val="Văn bản nội dung (2)_"/>
    <w:basedOn w:val="DefaultParagraphFont"/>
    <w:link w:val="Vnbnnidung20"/>
    <w:rsid w:val="0027468B"/>
    <w:rPr>
      <w:sz w:val="28"/>
      <w:szCs w:val="28"/>
      <w:shd w:val="clear" w:color="auto" w:fill="FFFFFF"/>
    </w:rPr>
  </w:style>
  <w:style w:type="character" w:customStyle="1" w:styleId="Vnbnnidung50">
    <w:name w:val="Văn bản nội dung (5)"/>
    <w:basedOn w:val="Vnbnnidung5"/>
    <w:rsid w:val="0027468B"/>
    <w:rPr>
      <w:rFonts w:ascii="Times New Roman" w:eastAsia="Times New Roman" w:hAnsi="Times New Roman" w:cs="Times New Roman"/>
      <w:b w:val="0"/>
      <w:bCs w:val="0"/>
      <w:i/>
      <w:iCs/>
      <w:smallCaps w:val="0"/>
      <w:strike w:val="0"/>
      <w:color w:val="000000"/>
      <w:spacing w:val="0"/>
      <w:w w:val="100"/>
      <w:position w:val="0"/>
      <w:sz w:val="28"/>
      <w:szCs w:val="28"/>
      <w:u w:val="single"/>
      <w:lang w:val="vi-VN" w:eastAsia="vi-VN" w:bidi="vi-VN"/>
    </w:rPr>
  </w:style>
  <w:style w:type="character" w:customStyle="1" w:styleId="Vnbnnidung585pt">
    <w:name w:val="Văn bản nội dung (5) + 8.5 pt"/>
    <w:aliases w:val="In đậm,Không in nghiêng"/>
    <w:basedOn w:val="Vnbnnidung5"/>
    <w:rsid w:val="0027468B"/>
    <w:rPr>
      <w:rFonts w:ascii="Times New Roman" w:eastAsia="Times New Roman" w:hAnsi="Times New Roman" w:cs="Times New Roman"/>
      <w:b/>
      <w:bCs/>
      <w:i/>
      <w:iCs/>
      <w:smallCaps w:val="0"/>
      <w:strike w:val="0"/>
      <w:color w:val="000000"/>
      <w:spacing w:val="0"/>
      <w:w w:val="100"/>
      <w:position w:val="0"/>
      <w:sz w:val="17"/>
      <w:szCs w:val="17"/>
      <w:u w:val="none"/>
      <w:lang w:val="vi-VN" w:eastAsia="vi-VN" w:bidi="vi-VN"/>
    </w:rPr>
  </w:style>
  <w:style w:type="paragraph" w:customStyle="1" w:styleId="Vnbnnidung20">
    <w:name w:val="Văn bản nội dung (2)"/>
    <w:basedOn w:val="Normal"/>
    <w:link w:val="Vnbnnidung2"/>
    <w:rsid w:val="0027468B"/>
    <w:pPr>
      <w:widowControl w:val="0"/>
      <w:shd w:val="clear" w:color="auto" w:fill="FFFFFF"/>
      <w:spacing w:line="0" w:lineRule="atLeast"/>
      <w:jc w:val="center"/>
    </w:pPr>
    <w:rPr>
      <w:sz w:val="28"/>
      <w:szCs w:val="28"/>
    </w:rPr>
  </w:style>
  <w:style w:type="paragraph" w:customStyle="1" w:styleId="Style1">
    <w:name w:val="_Style 1"/>
    <w:basedOn w:val="Normal"/>
    <w:next w:val="Normal"/>
    <w:semiHidden/>
    <w:rsid w:val="00386E6A"/>
    <w:pPr>
      <w:spacing w:before="120" w:after="120" w:line="312" w:lineRule="auto"/>
    </w:pPr>
    <w:rPr>
      <w:rFonts w:eastAsia="SimSu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E70F2"/>
    <w:pPr>
      <w:keepNext/>
      <w:tabs>
        <w:tab w:val="center" w:pos="1985"/>
        <w:tab w:val="center" w:pos="5954"/>
      </w:tabs>
      <w:jc w:val="center"/>
      <w:outlineLvl w:val="0"/>
    </w:pPr>
    <w:rPr>
      <w:rFonts w:ascii=".VnTime"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n14pt">
    <w:name w:val="Norman+14pt"/>
    <w:basedOn w:val="Normal"/>
    <w:rsid w:val="00865E68"/>
    <w:pPr>
      <w:spacing w:before="120"/>
      <w:ind w:firstLine="720"/>
      <w:jc w:val="both"/>
    </w:pPr>
    <w:rPr>
      <w:iCs/>
      <w:lang w:val="nl-NL"/>
    </w:rPr>
  </w:style>
  <w:style w:type="paragraph" w:customStyle="1" w:styleId="CharCharCharChar">
    <w:name w:val="Char Char Char Char"/>
    <w:basedOn w:val="Normal"/>
    <w:next w:val="Normal"/>
    <w:autoRedefine/>
    <w:semiHidden/>
    <w:rsid w:val="00E131A8"/>
    <w:pPr>
      <w:spacing w:before="120" w:after="120" w:line="312" w:lineRule="auto"/>
    </w:pPr>
    <w:rPr>
      <w:sz w:val="28"/>
      <w:szCs w:val="28"/>
    </w:rPr>
  </w:style>
  <w:style w:type="character" w:customStyle="1" w:styleId="BodyTextChar">
    <w:name w:val="Body Text Char"/>
    <w:link w:val="BodyText"/>
    <w:locked/>
    <w:rsid w:val="00DE70F2"/>
    <w:rPr>
      <w:rFonts w:ascii=".VnTime" w:hAnsi=".VnTime"/>
      <w:sz w:val="28"/>
      <w:lang w:val="en-US" w:eastAsia="en-US" w:bidi="ar-SA"/>
    </w:rPr>
  </w:style>
  <w:style w:type="paragraph" w:styleId="BodyText">
    <w:name w:val="Body Text"/>
    <w:basedOn w:val="Normal"/>
    <w:link w:val="BodyTextChar"/>
    <w:rsid w:val="00DE70F2"/>
    <w:pPr>
      <w:jc w:val="both"/>
    </w:pPr>
    <w:rPr>
      <w:rFonts w:ascii=".VnTime" w:hAnsi=".VnTime"/>
      <w:sz w:val="28"/>
      <w:szCs w:val="20"/>
    </w:rPr>
  </w:style>
  <w:style w:type="paragraph" w:customStyle="1" w:styleId="CharCharCharCharCharCharChar">
    <w:name w:val="Char Char Char Char Char Char Char"/>
    <w:basedOn w:val="Normal"/>
    <w:semiHidden/>
    <w:rsid w:val="00806EE3"/>
    <w:pPr>
      <w:spacing w:before="120" w:after="160" w:line="240" w:lineRule="exact"/>
      <w:ind w:firstLine="700"/>
    </w:pPr>
    <w:rPr>
      <w:rFonts w:ascii="Arial" w:hAnsi="Arial" w:cs="Arial"/>
      <w:sz w:val="22"/>
      <w:szCs w:val="22"/>
    </w:rPr>
  </w:style>
  <w:style w:type="paragraph" w:styleId="Header">
    <w:name w:val="header"/>
    <w:basedOn w:val="Normal"/>
    <w:link w:val="HeaderChar"/>
    <w:uiPriority w:val="99"/>
    <w:rsid w:val="00E53A81"/>
    <w:pPr>
      <w:tabs>
        <w:tab w:val="center" w:pos="4680"/>
        <w:tab w:val="right" w:pos="9360"/>
      </w:tabs>
    </w:pPr>
  </w:style>
  <w:style w:type="character" w:customStyle="1" w:styleId="HeaderChar">
    <w:name w:val="Header Char"/>
    <w:link w:val="Header"/>
    <w:uiPriority w:val="99"/>
    <w:rsid w:val="00E53A81"/>
    <w:rPr>
      <w:sz w:val="24"/>
      <w:szCs w:val="24"/>
    </w:rPr>
  </w:style>
  <w:style w:type="paragraph" w:styleId="Footer">
    <w:name w:val="footer"/>
    <w:basedOn w:val="Normal"/>
    <w:link w:val="FooterChar"/>
    <w:uiPriority w:val="99"/>
    <w:rsid w:val="00E53A81"/>
    <w:pPr>
      <w:tabs>
        <w:tab w:val="center" w:pos="4680"/>
        <w:tab w:val="right" w:pos="9360"/>
      </w:tabs>
    </w:pPr>
  </w:style>
  <w:style w:type="character" w:customStyle="1" w:styleId="FooterChar">
    <w:name w:val="Footer Char"/>
    <w:link w:val="Footer"/>
    <w:uiPriority w:val="99"/>
    <w:rsid w:val="00E53A81"/>
    <w:rPr>
      <w:sz w:val="24"/>
      <w:szCs w:val="24"/>
    </w:rPr>
  </w:style>
  <w:style w:type="paragraph" w:styleId="ListParagraph">
    <w:name w:val="List Paragraph"/>
    <w:basedOn w:val="Normal"/>
    <w:uiPriority w:val="34"/>
    <w:qFormat/>
    <w:rsid w:val="00E473C0"/>
    <w:pPr>
      <w:ind w:left="720"/>
      <w:contextualSpacing/>
    </w:pPr>
  </w:style>
  <w:style w:type="paragraph" w:styleId="BalloonText">
    <w:name w:val="Balloon Text"/>
    <w:basedOn w:val="Normal"/>
    <w:link w:val="BalloonTextChar"/>
    <w:rsid w:val="008D6C36"/>
    <w:rPr>
      <w:rFonts w:ascii="Tahoma" w:hAnsi="Tahoma" w:cs="Tahoma"/>
      <w:sz w:val="16"/>
      <w:szCs w:val="16"/>
    </w:rPr>
  </w:style>
  <w:style w:type="character" w:customStyle="1" w:styleId="BalloonTextChar">
    <w:name w:val="Balloon Text Char"/>
    <w:basedOn w:val="DefaultParagraphFont"/>
    <w:link w:val="BalloonText"/>
    <w:rsid w:val="008D6C36"/>
    <w:rPr>
      <w:rFonts w:ascii="Tahoma" w:hAnsi="Tahoma" w:cs="Tahoma"/>
      <w:sz w:val="16"/>
      <w:szCs w:val="16"/>
    </w:rPr>
  </w:style>
  <w:style w:type="character" w:customStyle="1" w:styleId="Vnbnnidung5">
    <w:name w:val="Văn bản nội dung (5)_"/>
    <w:basedOn w:val="DefaultParagraphFont"/>
    <w:rsid w:val="0027468B"/>
    <w:rPr>
      <w:rFonts w:ascii="Times New Roman" w:eastAsia="Times New Roman" w:hAnsi="Times New Roman" w:cs="Times New Roman"/>
      <w:b w:val="0"/>
      <w:bCs w:val="0"/>
      <w:i/>
      <w:iCs/>
      <w:smallCaps w:val="0"/>
      <w:strike w:val="0"/>
      <w:sz w:val="28"/>
      <w:szCs w:val="28"/>
      <w:u w:val="none"/>
    </w:rPr>
  </w:style>
  <w:style w:type="character" w:customStyle="1" w:styleId="Vnbnnidung2">
    <w:name w:val="Văn bản nội dung (2)_"/>
    <w:basedOn w:val="DefaultParagraphFont"/>
    <w:link w:val="Vnbnnidung20"/>
    <w:rsid w:val="0027468B"/>
    <w:rPr>
      <w:sz w:val="28"/>
      <w:szCs w:val="28"/>
      <w:shd w:val="clear" w:color="auto" w:fill="FFFFFF"/>
    </w:rPr>
  </w:style>
  <w:style w:type="character" w:customStyle="1" w:styleId="Vnbnnidung50">
    <w:name w:val="Văn bản nội dung (5)"/>
    <w:basedOn w:val="Vnbnnidung5"/>
    <w:rsid w:val="0027468B"/>
    <w:rPr>
      <w:rFonts w:ascii="Times New Roman" w:eastAsia="Times New Roman" w:hAnsi="Times New Roman" w:cs="Times New Roman"/>
      <w:b w:val="0"/>
      <w:bCs w:val="0"/>
      <w:i/>
      <w:iCs/>
      <w:smallCaps w:val="0"/>
      <w:strike w:val="0"/>
      <w:color w:val="000000"/>
      <w:spacing w:val="0"/>
      <w:w w:val="100"/>
      <w:position w:val="0"/>
      <w:sz w:val="28"/>
      <w:szCs w:val="28"/>
      <w:u w:val="single"/>
      <w:lang w:val="vi-VN" w:eastAsia="vi-VN" w:bidi="vi-VN"/>
    </w:rPr>
  </w:style>
  <w:style w:type="character" w:customStyle="1" w:styleId="Vnbnnidung585pt">
    <w:name w:val="Văn bản nội dung (5) + 8.5 pt"/>
    <w:aliases w:val="In đậm,Không in nghiêng"/>
    <w:basedOn w:val="Vnbnnidung5"/>
    <w:rsid w:val="0027468B"/>
    <w:rPr>
      <w:rFonts w:ascii="Times New Roman" w:eastAsia="Times New Roman" w:hAnsi="Times New Roman" w:cs="Times New Roman"/>
      <w:b/>
      <w:bCs/>
      <w:i/>
      <w:iCs/>
      <w:smallCaps w:val="0"/>
      <w:strike w:val="0"/>
      <w:color w:val="000000"/>
      <w:spacing w:val="0"/>
      <w:w w:val="100"/>
      <w:position w:val="0"/>
      <w:sz w:val="17"/>
      <w:szCs w:val="17"/>
      <w:u w:val="none"/>
      <w:lang w:val="vi-VN" w:eastAsia="vi-VN" w:bidi="vi-VN"/>
    </w:rPr>
  </w:style>
  <w:style w:type="paragraph" w:customStyle="1" w:styleId="Vnbnnidung20">
    <w:name w:val="Văn bản nội dung (2)"/>
    <w:basedOn w:val="Normal"/>
    <w:link w:val="Vnbnnidung2"/>
    <w:rsid w:val="0027468B"/>
    <w:pPr>
      <w:widowControl w:val="0"/>
      <w:shd w:val="clear" w:color="auto" w:fill="FFFFFF"/>
      <w:spacing w:line="0" w:lineRule="atLeast"/>
      <w:jc w:val="center"/>
    </w:pPr>
    <w:rPr>
      <w:sz w:val="28"/>
      <w:szCs w:val="28"/>
    </w:rPr>
  </w:style>
  <w:style w:type="paragraph" w:customStyle="1" w:styleId="Style1">
    <w:name w:val="_Style 1"/>
    <w:basedOn w:val="Normal"/>
    <w:next w:val="Normal"/>
    <w:semiHidden/>
    <w:rsid w:val="00386E6A"/>
    <w:pPr>
      <w:spacing w:before="120" w:after="120" w:line="312" w:lineRule="auto"/>
    </w:pPr>
    <w:rPr>
      <w:rFonts w:eastAsia="SimSu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29698">
      <w:bodyDiv w:val="1"/>
      <w:marLeft w:val="0"/>
      <w:marRight w:val="0"/>
      <w:marTop w:val="0"/>
      <w:marBottom w:val="0"/>
      <w:divBdr>
        <w:top w:val="none" w:sz="0" w:space="0" w:color="auto"/>
        <w:left w:val="none" w:sz="0" w:space="0" w:color="auto"/>
        <w:bottom w:val="none" w:sz="0" w:space="0" w:color="auto"/>
        <w:right w:val="none" w:sz="0" w:space="0" w:color="auto"/>
      </w:divBdr>
    </w:div>
    <w:div w:id="353772127">
      <w:bodyDiv w:val="1"/>
      <w:marLeft w:val="0"/>
      <w:marRight w:val="0"/>
      <w:marTop w:val="0"/>
      <w:marBottom w:val="0"/>
      <w:divBdr>
        <w:top w:val="none" w:sz="0" w:space="0" w:color="auto"/>
        <w:left w:val="none" w:sz="0" w:space="0" w:color="auto"/>
        <w:bottom w:val="none" w:sz="0" w:space="0" w:color="auto"/>
        <w:right w:val="none" w:sz="0" w:space="0" w:color="auto"/>
      </w:divBdr>
    </w:div>
    <w:div w:id="372385013">
      <w:bodyDiv w:val="1"/>
      <w:marLeft w:val="0"/>
      <w:marRight w:val="0"/>
      <w:marTop w:val="0"/>
      <w:marBottom w:val="0"/>
      <w:divBdr>
        <w:top w:val="none" w:sz="0" w:space="0" w:color="auto"/>
        <w:left w:val="none" w:sz="0" w:space="0" w:color="auto"/>
        <w:bottom w:val="none" w:sz="0" w:space="0" w:color="auto"/>
        <w:right w:val="none" w:sz="0" w:space="0" w:color="auto"/>
      </w:divBdr>
    </w:div>
    <w:div w:id="533032904">
      <w:bodyDiv w:val="1"/>
      <w:marLeft w:val="0"/>
      <w:marRight w:val="0"/>
      <w:marTop w:val="0"/>
      <w:marBottom w:val="0"/>
      <w:divBdr>
        <w:top w:val="none" w:sz="0" w:space="0" w:color="auto"/>
        <w:left w:val="none" w:sz="0" w:space="0" w:color="auto"/>
        <w:bottom w:val="none" w:sz="0" w:space="0" w:color="auto"/>
        <w:right w:val="none" w:sz="0" w:space="0" w:color="auto"/>
      </w:divBdr>
    </w:div>
    <w:div w:id="579028644">
      <w:bodyDiv w:val="1"/>
      <w:marLeft w:val="0"/>
      <w:marRight w:val="0"/>
      <w:marTop w:val="0"/>
      <w:marBottom w:val="0"/>
      <w:divBdr>
        <w:top w:val="none" w:sz="0" w:space="0" w:color="auto"/>
        <w:left w:val="none" w:sz="0" w:space="0" w:color="auto"/>
        <w:bottom w:val="none" w:sz="0" w:space="0" w:color="auto"/>
        <w:right w:val="none" w:sz="0" w:space="0" w:color="auto"/>
      </w:divBdr>
    </w:div>
    <w:div w:id="897205933">
      <w:bodyDiv w:val="1"/>
      <w:marLeft w:val="0"/>
      <w:marRight w:val="0"/>
      <w:marTop w:val="0"/>
      <w:marBottom w:val="0"/>
      <w:divBdr>
        <w:top w:val="none" w:sz="0" w:space="0" w:color="auto"/>
        <w:left w:val="none" w:sz="0" w:space="0" w:color="auto"/>
        <w:bottom w:val="none" w:sz="0" w:space="0" w:color="auto"/>
        <w:right w:val="none" w:sz="0" w:space="0" w:color="auto"/>
      </w:divBdr>
    </w:div>
    <w:div w:id="926495921">
      <w:bodyDiv w:val="1"/>
      <w:marLeft w:val="0"/>
      <w:marRight w:val="0"/>
      <w:marTop w:val="0"/>
      <w:marBottom w:val="0"/>
      <w:divBdr>
        <w:top w:val="none" w:sz="0" w:space="0" w:color="auto"/>
        <w:left w:val="none" w:sz="0" w:space="0" w:color="auto"/>
        <w:bottom w:val="none" w:sz="0" w:space="0" w:color="auto"/>
        <w:right w:val="none" w:sz="0" w:space="0" w:color="auto"/>
      </w:divBdr>
    </w:div>
    <w:div w:id="958687333">
      <w:bodyDiv w:val="1"/>
      <w:marLeft w:val="0"/>
      <w:marRight w:val="0"/>
      <w:marTop w:val="0"/>
      <w:marBottom w:val="0"/>
      <w:divBdr>
        <w:top w:val="none" w:sz="0" w:space="0" w:color="auto"/>
        <w:left w:val="none" w:sz="0" w:space="0" w:color="auto"/>
        <w:bottom w:val="none" w:sz="0" w:space="0" w:color="auto"/>
        <w:right w:val="none" w:sz="0" w:space="0" w:color="auto"/>
      </w:divBdr>
    </w:div>
    <w:div w:id="1046610101">
      <w:bodyDiv w:val="1"/>
      <w:marLeft w:val="0"/>
      <w:marRight w:val="0"/>
      <w:marTop w:val="0"/>
      <w:marBottom w:val="0"/>
      <w:divBdr>
        <w:top w:val="none" w:sz="0" w:space="0" w:color="auto"/>
        <w:left w:val="none" w:sz="0" w:space="0" w:color="auto"/>
        <w:bottom w:val="none" w:sz="0" w:space="0" w:color="auto"/>
        <w:right w:val="none" w:sz="0" w:space="0" w:color="auto"/>
      </w:divBdr>
    </w:div>
    <w:div w:id="1064720957">
      <w:bodyDiv w:val="1"/>
      <w:marLeft w:val="0"/>
      <w:marRight w:val="0"/>
      <w:marTop w:val="0"/>
      <w:marBottom w:val="0"/>
      <w:divBdr>
        <w:top w:val="none" w:sz="0" w:space="0" w:color="auto"/>
        <w:left w:val="none" w:sz="0" w:space="0" w:color="auto"/>
        <w:bottom w:val="none" w:sz="0" w:space="0" w:color="auto"/>
        <w:right w:val="none" w:sz="0" w:space="0" w:color="auto"/>
      </w:divBdr>
    </w:div>
    <w:div w:id="1303002231">
      <w:bodyDiv w:val="1"/>
      <w:marLeft w:val="0"/>
      <w:marRight w:val="0"/>
      <w:marTop w:val="0"/>
      <w:marBottom w:val="0"/>
      <w:divBdr>
        <w:top w:val="none" w:sz="0" w:space="0" w:color="auto"/>
        <w:left w:val="none" w:sz="0" w:space="0" w:color="auto"/>
        <w:bottom w:val="none" w:sz="0" w:space="0" w:color="auto"/>
        <w:right w:val="none" w:sz="0" w:space="0" w:color="auto"/>
      </w:divBdr>
    </w:div>
    <w:div w:id="1365862776">
      <w:bodyDiv w:val="1"/>
      <w:marLeft w:val="0"/>
      <w:marRight w:val="0"/>
      <w:marTop w:val="0"/>
      <w:marBottom w:val="0"/>
      <w:divBdr>
        <w:top w:val="none" w:sz="0" w:space="0" w:color="auto"/>
        <w:left w:val="none" w:sz="0" w:space="0" w:color="auto"/>
        <w:bottom w:val="none" w:sz="0" w:space="0" w:color="auto"/>
        <w:right w:val="none" w:sz="0" w:space="0" w:color="auto"/>
      </w:divBdr>
    </w:div>
    <w:div w:id="1818909363">
      <w:bodyDiv w:val="1"/>
      <w:marLeft w:val="0"/>
      <w:marRight w:val="0"/>
      <w:marTop w:val="0"/>
      <w:marBottom w:val="0"/>
      <w:divBdr>
        <w:top w:val="none" w:sz="0" w:space="0" w:color="auto"/>
        <w:left w:val="none" w:sz="0" w:space="0" w:color="auto"/>
        <w:bottom w:val="none" w:sz="0" w:space="0" w:color="auto"/>
        <w:right w:val="none" w:sz="0" w:space="0" w:color="auto"/>
      </w:divBdr>
    </w:div>
    <w:div w:id="1902249671">
      <w:bodyDiv w:val="1"/>
      <w:marLeft w:val="0"/>
      <w:marRight w:val="0"/>
      <w:marTop w:val="0"/>
      <w:marBottom w:val="0"/>
      <w:divBdr>
        <w:top w:val="none" w:sz="0" w:space="0" w:color="auto"/>
        <w:left w:val="none" w:sz="0" w:space="0" w:color="auto"/>
        <w:bottom w:val="none" w:sz="0" w:space="0" w:color="auto"/>
        <w:right w:val="none" w:sz="0" w:space="0" w:color="auto"/>
      </w:divBdr>
    </w:div>
    <w:div w:id="1956328043">
      <w:bodyDiv w:val="1"/>
      <w:marLeft w:val="0"/>
      <w:marRight w:val="0"/>
      <w:marTop w:val="0"/>
      <w:marBottom w:val="0"/>
      <w:divBdr>
        <w:top w:val="none" w:sz="0" w:space="0" w:color="auto"/>
        <w:left w:val="none" w:sz="0" w:space="0" w:color="auto"/>
        <w:bottom w:val="none" w:sz="0" w:space="0" w:color="auto"/>
        <w:right w:val="none" w:sz="0" w:space="0" w:color="auto"/>
      </w:divBdr>
    </w:div>
    <w:div w:id="2010787443">
      <w:bodyDiv w:val="1"/>
      <w:marLeft w:val="0"/>
      <w:marRight w:val="0"/>
      <w:marTop w:val="0"/>
      <w:marBottom w:val="0"/>
      <w:divBdr>
        <w:top w:val="none" w:sz="0" w:space="0" w:color="auto"/>
        <w:left w:val="none" w:sz="0" w:space="0" w:color="auto"/>
        <w:bottom w:val="none" w:sz="0" w:space="0" w:color="auto"/>
        <w:right w:val="none" w:sz="0" w:space="0" w:color="auto"/>
      </w:divBdr>
    </w:div>
    <w:div w:id="2061008088">
      <w:bodyDiv w:val="1"/>
      <w:marLeft w:val="0"/>
      <w:marRight w:val="0"/>
      <w:marTop w:val="0"/>
      <w:marBottom w:val="0"/>
      <w:divBdr>
        <w:top w:val="none" w:sz="0" w:space="0" w:color="auto"/>
        <w:left w:val="none" w:sz="0" w:space="0" w:color="auto"/>
        <w:bottom w:val="none" w:sz="0" w:space="0" w:color="auto"/>
        <w:right w:val="none" w:sz="0" w:space="0" w:color="auto"/>
      </w:divBdr>
    </w:div>
    <w:div w:id="21395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A592-1BD6-4658-A7FE-82FE0E5F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UBND TỈNH KONTUM</vt:lpstr>
    </vt:vector>
  </TitlesOfParts>
  <Company>TIN HOC HTL</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KONTUM</dc:title>
  <dc:creator>TRAN VAN TOAN</dc:creator>
  <cp:lastModifiedBy>VNN.R9</cp:lastModifiedBy>
  <cp:revision>102</cp:revision>
  <cp:lastPrinted>2022-10-25T06:48:00Z</cp:lastPrinted>
  <dcterms:created xsi:type="dcterms:W3CDTF">2021-10-22T00:56:00Z</dcterms:created>
  <dcterms:modified xsi:type="dcterms:W3CDTF">2023-04-13T08:36:00Z</dcterms:modified>
</cp:coreProperties>
</file>